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Section 018113 - Sustainable Design Requirements</w:t>
      </w:r>
      <w:r w:rsidDel="00000000" w:rsidR="00000000" w:rsidRPr="00000000">
        <w:rPr>
          <w:rtl w:val="0"/>
        </w:rPr>
      </w:r>
    </w:p>
    <w:p w:rsidR="00000000" w:rsidDel="00000000" w:rsidP="00000000" w:rsidRDefault="00000000" w:rsidRPr="00000000" w14:paraId="00000002">
      <w:pPr>
        <w:keepNext w:val="1"/>
        <w:keepLines w:val="1"/>
        <w:numPr>
          <w:ilvl w:val="1"/>
          <w:numId w:val="2"/>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1  GENERAL</w:t>
      </w:r>
      <w:r w:rsidDel="00000000" w:rsidR="00000000" w:rsidRPr="00000000">
        <w:rPr>
          <w:rtl w:val="0"/>
        </w:rPr>
      </w:r>
    </w:p>
    <w:p w:rsidR="00000000" w:rsidDel="00000000" w:rsidP="00000000" w:rsidRDefault="00000000" w:rsidRPr="00000000" w14:paraId="00000003">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SECTION INCLUDES</w:t>
      </w:r>
      <w:r w:rsidDel="00000000" w:rsidR="00000000" w:rsidRPr="00000000">
        <w:rPr>
          <w:rtl w:val="0"/>
        </w:rPr>
      </w:r>
    </w:p>
    <w:p w:rsidR="00000000" w:rsidDel="00000000" w:rsidP="00000000" w:rsidRDefault="00000000" w:rsidRPr="00000000" w14:paraId="00000004">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414141"/>
          <w:highlight w:val="white"/>
          <w:rtl w:val="0"/>
        </w:rPr>
        <w:t xml:space="preserve">Supply chain reporting requirements for products as defined by Buy Clean and Buy Fair Washington Act.</w:t>
      </w:r>
      <w:r w:rsidDel="00000000" w:rsidR="00000000" w:rsidRPr="00000000">
        <w:rPr>
          <w:rtl w:val="0"/>
        </w:rPr>
      </w:r>
    </w:p>
    <w:p w:rsidR="00000000" w:rsidDel="00000000" w:rsidP="00000000" w:rsidRDefault="00000000" w:rsidRPr="00000000" w14:paraId="00000005">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design reporting required for project to meet project's sustainable design goals </w:t>
      </w:r>
      <w:r w:rsidDel="00000000" w:rsidR="00000000" w:rsidRPr="00000000">
        <w:rPr>
          <w:rtl w:val="0"/>
        </w:rPr>
      </w:r>
    </w:p>
    <w:p w:rsidR="00000000" w:rsidDel="00000000" w:rsidP="00000000" w:rsidRDefault="00000000" w:rsidRPr="00000000" w14:paraId="00000006">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PROJECT GOALS</w:t>
      </w:r>
      <w:r w:rsidDel="00000000" w:rsidR="00000000" w:rsidRPr="00000000">
        <w:rPr>
          <w:rtl w:val="0"/>
        </w:rPr>
      </w:r>
    </w:p>
    <w:p w:rsidR="00000000" w:rsidDel="00000000" w:rsidP="00000000" w:rsidRDefault="00000000" w:rsidRPr="00000000" w14:paraId="00000007">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This project has been designed to achieve the following sustainable design criteria:</w:t>
      </w:r>
      <w:r w:rsidDel="00000000" w:rsidR="00000000" w:rsidRPr="00000000">
        <w:rPr>
          <w:rtl w:val="0"/>
        </w:rPr>
      </w:r>
    </w:p>
    <w:p w:rsidR="00000000" w:rsidDel="00000000" w:rsidP="00000000" w:rsidRDefault="00000000" w:rsidRPr="00000000" w14:paraId="00000008">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Supply chain reporting requirements for products as defined by Buy Clean and Buy Fair Washington Act.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i w:val="1"/>
          <w:color w:val="ff0000"/>
        </w:rPr>
      </w:pPr>
      <w:r w:rsidDel="00000000" w:rsidR="00000000" w:rsidRPr="00000000">
        <w:rPr>
          <w:i w:val="1"/>
          <w:color w:val="ff0000"/>
          <w:rtl w:val="0"/>
        </w:rPr>
        <w:t xml:space="preserve">[Setting low embodied carbon targets is not required by the Buy Clean and Buy Fair WA Act. Project design/construction teams can choose to add embodied carbon optimization to the project if coordinated as a project stretch goal with the State of Washington client team.]</w:t>
      </w:r>
    </w:p>
    <w:p w:rsidR="00000000" w:rsidDel="00000000" w:rsidP="00000000" w:rsidRDefault="00000000" w:rsidRPr="00000000" w14:paraId="0000000A">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Project-specific low-embodied carbon materials requirements.</w:t>
      </w:r>
      <w:r w:rsidDel="00000000" w:rsidR="00000000" w:rsidRPr="00000000">
        <w:rPr>
          <w:rtl w:val="0"/>
        </w:rPr>
      </w:r>
    </w:p>
    <w:p w:rsidR="00000000" w:rsidDel="00000000" w:rsidP="00000000" w:rsidRDefault="00000000" w:rsidRPr="00000000" w14:paraId="0000000B">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REPORTING REQUIREMENTS</w:t>
      </w:r>
      <w:r w:rsidDel="00000000" w:rsidR="00000000" w:rsidRPr="00000000">
        <w:rPr>
          <w:rtl w:val="0"/>
        </w:rPr>
      </w:r>
    </w:p>
    <w:p w:rsidR="00000000" w:rsidDel="00000000" w:rsidP="00000000" w:rsidRDefault="00000000" w:rsidRPr="00000000" w14:paraId="0000000C">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​​Contractor​​ must become familiar with the relevant reporting requirements for those requirements that they are primarily responsible for and provide the necessary information and instruction to all subcontractors and installers.</w:t>
      </w:r>
      <w:r w:rsidDel="00000000" w:rsidR="00000000" w:rsidRPr="00000000">
        <w:rPr>
          <w:rtl w:val="0"/>
        </w:rPr>
      </w:r>
    </w:p>
    <w:p w:rsidR="00000000" w:rsidDel="00000000" w:rsidP="00000000" w:rsidRDefault="00000000" w:rsidRPr="00000000" w14:paraId="0000000D">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Since Contractor and subcontractors may not be familiar with Buy Clean and Buy Fair Washington Act requirements, this section includes a summary of the products and procedures intended to comply with Buy Clean and Buy Fair Washington Act criteria.</w:t>
      </w:r>
      <w:r w:rsidDel="00000000" w:rsidR="00000000" w:rsidRPr="00000000">
        <w:rPr>
          <w:rtl w:val="0"/>
        </w:rPr>
      </w:r>
    </w:p>
    <w:p w:rsidR="00000000" w:rsidDel="00000000" w:rsidP="00000000" w:rsidRDefault="00000000" w:rsidRPr="00000000" w14:paraId="0000000E">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Some requirements are dependent on proper performance by ​​Contractor​​ and subcontractors.</w:t>
      </w:r>
      <w:r w:rsidDel="00000000" w:rsidR="00000000" w:rsidRPr="00000000">
        <w:rPr>
          <w:rtl w:val="0"/>
        </w:rPr>
      </w:r>
    </w:p>
    <w:p w:rsidR="00000000" w:rsidDel="00000000" w:rsidP="00000000" w:rsidRDefault="00000000" w:rsidRPr="00000000" w14:paraId="0000000F">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Some Buy Clean and Buy Fair Washington Act requirements are dependent on material selections</w:t>
      </w:r>
      <w:r w:rsidDel="00000000" w:rsidR="00000000" w:rsidRPr="00000000">
        <w:rPr>
          <w:rtl w:val="0"/>
        </w:rPr>
        <w:t xml:space="preserve">. </w:t>
      </w:r>
      <w:r w:rsidDel="00000000" w:rsidR="00000000" w:rsidRPr="00000000">
        <w:rPr>
          <w:color w:val="000000"/>
          <w:rtl w:val="0"/>
        </w:rPr>
        <w:t xml:space="preserve">Compliance with these requirements will be used to evaluate substitution requests.</w:t>
      </w:r>
      <w:r w:rsidDel="00000000" w:rsidR="00000000" w:rsidRPr="00000000">
        <w:rPr>
          <w:rtl w:val="0"/>
        </w:rPr>
      </w:r>
    </w:p>
    <w:p w:rsidR="00000000" w:rsidDel="00000000" w:rsidP="00000000" w:rsidRDefault="00000000" w:rsidRPr="00000000" w14:paraId="00000010">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Many Buy Clean and Buy Fair Washington Act measures require careful recordkeeping and reporting by the ​Contractor​ including the following:</w:t>
      </w:r>
      <w:r w:rsidDel="00000000" w:rsidR="00000000" w:rsidRPr="00000000">
        <w:rPr>
          <w:rtl w:val="0"/>
        </w:rPr>
      </w:r>
    </w:p>
    <w:p w:rsidR="00000000" w:rsidDel="00000000" w:rsidP="00000000" w:rsidRDefault="00000000" w:rsidRPr="00000000" w14:paraId="00000011">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Quantifying material quantities by weight or volume.</w:t>
      </w:r>
      <w:r w:rsidDel="00000000" w:rsidR="00000000" w:rsidRPr="00000000">
        <w:rPr>
          <w:rtl w:val="0"/>
        </w:rPr>
      </w:r>
    </w:p>
    <w:p w:rsidR="00000000" w:rsidDel="00000000" w:rsidP="00000000" w:rsidRDefault="00000000" w:rsidRPr="00000000" w14:paraId="00000012">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Verifying current compliance with product and manufacturer standards and providing copies of backup documentation.</w:t>
      </w:r>
      <w:r w:rsidDel="00000000" w:rsidR="00000000" w:rsidRPr="00000000">
        <w:rPr>
          <w:rtl w:val="0"/>
        </w:rPr>
      </w:r>
    </w:p>
    <w:p w:rsidR="00000000" w:rsidDel="00000000" w:rsidP="00000000" w:rsidRDefault="00000000" w:rsidRPr="00000000" w14:paraId="00000013">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Contractor must become familiar with the Buy Clean and Buy Fair Washington Act reporting requirements and provide the necessary information and instruction to all subcontractors and installers.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0" w:firstLine="0"/>
        <w:rPr>
          <w:i w:val="1"/>
          <w:color w:val="ff0000"/>
        </w:rPr>
      </w:pPr>
      <w:r w:rsidDel="00000000" w:rsidR="00000000" w:rsidRPr="00000000">
        <w:rPr>
          <w:i w:val="1"/>
          <w:color w:val="ff0000"/>
          <w:rtl w:val="0"/>
        </w:rPr>
        <w:t xml:space="preserve">[When this specification is used as a model specification for projects outside of Buy Clean and Buy Fair Washington Act policy, please review the definitions below to best align with the project's goals and governing policies.  Additionally, the American Center for Life Cycle Assessment (ACLCA) is expected to publish guidance by the end of 2024 to harmonize EPD-related definitions for policies and projects to utilize.  Check their website for updates.]</w:t>
      </w:r>
    </w:p>
    <w:p w:rsidR="00000000" w:rsidDel="00000000" w:rsidP="00000000" w:rsidRDefault="00000000" w:rsidRPr="00000000" w14:paraId="00000015">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174" w:line="480" w:lineRule="auto"/>
        <w:ind w:left="892" w:right="0" w:hanging="892"/>
        <w:jc w:val="left"/>
      </w:pPr>
      <w:r w:rsidDel="00000000" w:rsidR="00000000" w:rsidRPr="00000000">
        <w:rPr>
          <w:rtl w:val="0"/>
        </w:rPr>
        <w:t xml:space="preserve">DEFINITIONS</w:t>
      </w:r>
      <w:r w:rsidDel="00000000" w:rsidR="00000000" w:rsidRPr="00000000">
        <w:rPr>
          <w:rtl w:val="0"/>
        </w:rPr>
      </w:r>
    </w:p>
    <w:p w:rsidR="00000000" w:rsidDel="00000000" w:rsidP="00000000" w:rsidRDefault="00000000" w:rsidRPr="00000000" w14:paraId="00000016">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Product Quantity: Amount of product installed in this construction </w:t>
      </w:r>
      <w:r w:rsidDel="00000000" w:rsidR="00000000" w:rsidRPr="00000000">
        <w:rPr>
          <w:color w:val="000000"/>
          <w:rtl w:val="0"/>
        </w:rPr>
        <w:t xml:space="preserve">project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7">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Embodied Carbon Topic Related Definitions</w:t>
      </w:r>
      <w:r w:rsidDel="00000000" w:rsidR="00000000" w:rsidRPr="00000000">
        <w:rPr>
          <w:rtl w:val="0"/>
        </w:rPr>
      </w:r>
    </w:p>
    <w:p w:rsidR="00000000" w:rsidDel="00000000" w:rsidP="00000000" w:rsidRDefault="00000000" w:rsidRPr="00000000" w14:paraId="00000018">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Bill of Materials: Supplier information summary including product quantities installed in construction product, location where materials were obtained, and associated Environmental Product Declaration (EPD) documents.</w:t>
      </w:r>
      <w:r w:rsidDel="00000000" w:rsidR="00000000" w:rsidRPr="00000000">
        <w:rPr>
          <w:rtl w:val="0"/>
        </w:rPr>
      </w:r>
    </w:p>
    <w:p w:rsidR="00000000" w:rsidDel="00000000" w:rsidP="00000000" w:rsidRDefault="00000000" w:rsidRPr="00000000" w14:paraId="00000019">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Environmental Product Declaration (EPD):  </w:t>
      </w:r>
      <w:r w:rsidDel="00000000" w:rsidR="00000000" w:rsidRPr="00000000">
        <w:rPr>
          <w:rtl w:val="0"/>
        </w:rPr>
        <w:t xml:space="preserve">S</w:t>
      </w:r>
      <w:r w:rsidDel="00000000" w:rsidR="00000000" w:rsidRPr="00000000">
        <w:rPr>
          <w:color w:val="000000"/>
          <w:rtl w:val="0"/>
        </w:rPr>
        <w:t xml:space="preserve">tandardized, third-party-verified documents that report the environmental impacts of a product based on a product life cycle assessment (LCA) and conform to ISO 14025 and ISO 21930. </w:t>
      </w:r>
      <w:r w:rsidDel="00000000" w:rsidR="00000000" w:rsidRPr="00000000">
        <w:rPr>
          <w:rtl w:val="0"/>
        </w:rPr>
      </w:r>
    </w:p>
    <w:p w:rsidR="00000000" w:rsidDel="00000000" w:rsidP="00000000" w:rsidRDefault="00000000" w:rsidRPr="00000000" w14:paraId="0000001A">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Industry-Average EPD: Based on environmental impacts from a product attributed to aggregated data from multiple manufacturers of a common product </w:t>
      </w:r>
      <w:r w:rsidDel="00000000" w:rsidR="00000000" w:rsidRPr="00000000">
        <w:rPr>
          <w:color w:val="000000"/>
          <w:rtl w:val="0"/>
        </w:rPr>
        <w:t xml:space="preserve">type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B">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rtl w:val="0"/>
        </w:rPr>
        <w:t xml:space="preserve">Product and facility-specific EPD:</w:t>
      </w:r>
      <w:r w:rsidDel="00000000" w:rsidR="00000000" w:rsidRPr="00000000">
        <w:rPr>
          <w:rtl w:val="0"/>
        </w:rPr>
        <w:t xml:space="preserve"> Based on environmental impacts from a product that can be attributed to a single manufacturer and a specific manufacturing or production facility.</w:t>
      </w:r>
    </w:p>
    <w:p w:rsidR="00000000" w:rsidDel="00000000" w:rsidP="00000000" w:rsidRDefault="00000000" w:rsidRPr="00000000" w14:paraId="0000001C">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Supply Chain-Specific EPD: Based on environmental impacts from a product that can be attributed to a single manufacturer and a specific manufacturing or production facility and that includes supply chain specific data for production processes that contribute 70 percent or more of a product’s cradle-to-gate global warming potential, as defined in ISO 21930, and reports the overall percentage of supply chain specific data included.</w:t>
      </w:r>
      <w:r w:rsidDel="00000000" w:rsidR="00000000" w:rsidRPr="00000000">
        <w:rPr>
          <w:rtl w:val="0"/>
        </w:rPr>
      </w:r>
    </w:p>
    <w:p w:rsidR="00000000" w:rsidDel="00000000" w:rsidP="00000000" w:rsidRDefault="00000000" w:rsidRPr="00000000" w14:paraId="0000001D">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Life Cycle Assessment (LCA): A systematic set of procedures for compiling and evaluating the inputs and outputs of materials and energy, and the associated environmental impacts directly attributable to a product or process throughout its life cycle.</w:t>
      </w:r>
      <w:r w:rsidDel="00000000" w:rsidR="00000000" w:rsidRPr="00000000">
        <w:rPr>
          <w:rtl w:val="0"/>
        </w:rPr>
      </w:r>
    </w:p>
    <w:p w:rsidR="00000000" w:rsidDel="00000000" w:rsidP="00000000" w:rsidRDefault="00000000" w:rsidRPr="00000000" w14:paraId="0000001E">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Cradle to Gate Assessment: Life Cycle Assessment (LCA) of a product’s partial life cycle, from resource extraction (cradle) to the factory gate (before it is transported for distribution and sale). It includes stages A1-A3 and omits the use and the disposal phases of the product.</w:t>
      </w:r>
      <w:r w:rsidDel="00000000" w:rsidR="00000000" w:rsidRPr="00000000">
        <w:rPr>
          <w:rtl w:val="0"/>
        </w:rPr>
      </w:r>
    </w:p>
    <w:p w:rsidR="00000000" w:rsidDel="00000000" w:rsidP="00000000" w:rsidRDefault="00000000" w:rsidRPr="00000000" w14:paraId="0000001F">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Cradle to Grave: Life Cycle Assessment (LCA) of a product’s full life cycle, from resource extraction (cradle) to the disposal phase (grave).</w:t>
      </w:r>
      <w:r w:rsidDel="00000000" w:rsidR="00000000" w:rsidRPr="00000000">
        <w:rPr>
          <w:rtl w:val="0"/>
        </w:rPr>
      </w:r>
    </w:p>
    <w:p w:rsidR="00000000" w:rsidDel="00000000" w:rsidP="00000000" w:rsidRDefault="00000000" w:rsidRPr="00000000" w14:paraId="00000020">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w:t>
      </w:r>
      <w:r w:rsidDel="00000000" w:rsidR="00000000" w:rsidRPr="00000000">
        <w:rPr>
          <w:color w:val="000000"/>
          <w:rtl w:val="0"/>
        </w:rPr>
        <w:t xml:space="preserve">Carbon</w:t>
      </w:r>
      <w:r w:rsidDel="00000000" w:rsidR="00000000" w:rsidRPr="00000000">
        <w:rPr>
          <w:color w:val="000000"/>
          <w:rtl w:val="0"/>
        </w:rPr>
        <w:t xml:space="preserve">:  The greenhouse gas (GHG) emissions generated by the manufacturing, transportation, installation, maintenance, and disposal of construction materials used in buildings, roads, and other infrastructure.</w:t>
      </w:r>
    </w:p>
    <w:p w:rsidR="00000000" w:rsidDel="00000000" w:rsidP="00000000" w:rsidRDefault="00000000" w:rsidRPr="00000000" w14:paraId="00000021">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Carbon Material Baseline: Target cradle to gate (A1-A3) embodied carbon value for a specific product type, measured in kilograms of carbon dioxide equivalent (kgCO2e).</w:t>
      </w:r>
      <w:r w:rsidDel="00000000" w:rsidR="00000000" w:rsidRPr="00000000">
        <w:rPr>
          <w:rtl w:val="0"/>
        </w:rPr>
      </w:r>
    </w:p>
    <w:p w:rsidR="00000000" w:rsidDel="00000000" w:rsidP="00000000" w:rsidRDefault="00000000" w:rsidRPr="00000000" w14:paraId="00000022">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Global Warming Potential (GWP): The potential climate change impact of a product or process as measured by a life cycle assessment (LCA).  GWP is reported in units of carbon dioxide equivalent (CO2e) and is the agreed upon metric for tracking embodied carbon.</w:t>
      </w:r>
    </w:p>
    <w:p w:rsidR="00000000" w:rsidDel="00000000" w:rsidP="00000000" w:rsidRDefault="00000000" w:rsidRPr="00000000" w14:paraId="00000023">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Category Rules (PCR): A set of rules, requirements, and guidelines for developing Environmental Product Declarations.</w:t>
      </w:r>
      <w:r w:rsidDel="00000000" w:rsidR="00000000" w:rsidRPr="00000000">
        <w:rPr>
          <w:rtl w:val="0"/>
        </w:rPr>
      </w:r>
    </w:p>
    <w:p w:rsidR="00000000" w:rsidDel="00000000" w:rsidP="00000000" w:rsidRDefault="00000000" w:rsidRPr="00000000" w14:paraId="00000024">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Program Operator: Organization that ensures EPDs meet the PCRs for the associated product category, and third party verifies the life cycle assessment is completed according to the PCR.</w:t>
      </w:r>
      <w:r w:rsidDel="00000000" w:rsidR="00000000" w:rsidRPr="00000000">
        <w:rPr>
          <w:rtl w:val="0"/>
        </w:rPr>
      </w:r>
    </w:p>
    <w:p w:rsidR="00000000" w:rsidDel="00000000" w:rsidP="00000000" w:rsidRDefault="00000000" w:rsidRPr="00000000" w14:paraId="00000025">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System Boundary: Defines the processes (Stages A1-A4, B, C, etc.) in a product’s life cycle that are included in the life cycle assessment.</w:t>
      </w:r>
      <w:r w:rsidDel="00000000" w:rsidR="00000000" w:rsidRPr="00000000">
        <w:rPr>
          <w:rtl w:val="0"/>
        </w:rPr>
      </w:r>
    </w:p>
    <w:p w:rsidR="00000000" w:rsidDel="00000000" w:rsidP="00000000" w:rsidRDefault="00000000" w:rsidRPr="00000000" w14:paraId="00000026">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Carbon in Construction Calculator (EC3): Free, open-access tool that includes a digital database of third party verified, Type III EPDs and a user interface offering the ability to find and compare materials based on their global warming potential and a project planner that enables construction projects to create an upfront (stage A1-A3) embodied carbon estimate and realized carbon footprint.</w:t>
      </w:r>
      <w:r w:rsidDel="00000000" w:rsidR="00000000" w:rsidRPr="00000000">
        <w:rPr>
          <w:rtl w:val="0"/>
        </w:rPr>
      </w:r>
    </w:p>
    <w:p w:rsidR="00000000" w:rsidDel="00000000" w:rsidP="00000000" w:rsidRDefault="00000000" w:rsidRPr="00000000" w14:paraId="00000027">
      <w:pPr>
        <w:numPr>
          <w:ilvl w:val="3"/>
          <w:numId w:val="2"/>
        </w:numPr>
        <w:ind w:left="892" w:hanging="417"/>
        <w:rPr/>
      </w:pPr>
      <w:r w:rsidDel="00000000" w:rsidR="00000000" w:rsidRPr="00000000">
        <w:rPr>
          <w:rtl w:val="0"/>
        </w:rPr>
        <w:t xml:space="preserve">Health Product Declarations (HPD): A standard format for reporting product content and associated health information for building products and materials.</w:t>
      </w:r>
    </w:p>
    <w:p w:rsidR="00000000" w:rsidDel="00000000" w:rsidP="00000000" w:rsidRDefault="00000000" w:rsidRPr="00000000" w14:paraId="00000028">
      <w:pPr>
        <w:numPr>
          <w:ilvl w:val="4"/>
          <w:numId w:val="2"/>
        </w:numPr>
        <w:ind w:left="1367" w:hanging="460"/>
        <w:rPr/>
      </w:pPr>
      <w:r w:rsidDel="00000000" w:rsidR="00000000" w:rsidRPr="00000000">
        <w:rPr>
          <w:rtl w:val="0"/>
        </w:rPr>
        <w:t xml:space="preserve">Acceptable Evidence: Unexpired HPD.</w:t>
      </w:r>
    </w:p>
    <w:p w:rsidR="00000000" w:rsidDel="00000000" w:rsidP="00000000" w:rsidRDefault="00000000" w:rsidRPr="00000000" w14:paraId="00000029">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rtl w:val="0"/>
        </w:rPr>
        <w:t xml:space="preserve">Disclosure level: 100ppm or 1000ppm.</w:t>
      </w:r>
    </w:p>
    <w:p w:rsidR="00000000" w:rsidDel="00000000" w:rsidP="00000000" w:rsidRDefault="00000000" w:rsidRPr="00000000" w14:paraId="0000002A">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00" w:before="0" w:line="276" w:lineRule="auto"/>
        <w:ind w:left="1367" w:right="0" w:hanging="4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Third-party verification preferred. </w:t>
      </w:r>
      <w:r w:rsidDel="00000000" w:rsidR="00000000" w:rsidRPr="00000000">
        <w:rPr>
          <w:rtl w:val="0"/>
        </w:rPr>
      </w:r>
    </w:p>
    <w:p w:rsidR="00000000" w:rsidDel="00000000" w:rsidP="00000000" w:rsidRDefault="00000000" w:rsidRPr="00000000" w14:paraId="0000002B">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rtl w:val="0"/>
        </w:rPr>
        <w:t xml:space="preserve">Supplier Code of Conduct: A policy created by a manufacturer that outlines steps taken to ensure that its suppliers adhere to ethical practices, such as compliance with child and forced labor laws, anti-discrimination practices, freedom of association, and safe workplace conditions.</w:t>
      </w:r>
    </w:p>
    <w:p w:rsidR="00000000" w:rsidDel="00000000" w:rsidP="00000000" w:rsidRDefault="00000000" w:rsidRPr="00000000" w14:paraId="0000002C">
      <w:pPr>
        <w:numPr>
          <w:ilvl w:val="4"/>
          <w:numId w:val="2"/>
        </w:numPr>
        <w:ind w:left="1367" w:hanging="460"/>
        <w:rPr/>
      </w:pPr>
      <w:r w:rsidDel="00000000" w:rsidR="00000000" w:rsidRPr="00000000">
        <w:rPr>
          <w:rtl w:val="0"/>
        </w:rPr>
        <w:t xml:space="preserve">ILO Declaration on Fundamental Principles and Rights at Work: International Labour Organization's declaration which defines the following five basic human values when working.</w:t>
      </w:r>
    </w:p>
    <w:p w:rsidR="00000000" w:rsidDel="00000000" w:rsidP="00000000" w:rsidRDefault="00000000" w:rsidRPr="00000000" w14:paraId="0000002D">
      <w:pPr>
        <w:numPr>
          <w:ilvl w:val="5"/>
          <w:numId w:val="2"/>
        </w:numPr>
        <w:ind w:left="1770" w:hanging="415.99999999999994"/>
        <w:rPr/>
      </w:pPr>
      <w:r w:rsidDel="00000000" w:rsidR="00000000" w:rsidRPr="00000000">
        <w:rPr>
          <w:rtl w:val="0"/>
        </w:rPr>
        <w:t xml:space="preserve">Freedom of association and the effective recognition of the right to collective bargaining.</w:t>
      </w:r>
    </w:p>
    <w:p w:rsidR="00000000" w:rsidDel="00000000" w:rsidP="00000000" w:rsidRDefault="00000000" w:rsidRPr="00000000" w14:paraId="0000002E">
      <w:pPr>
        <w:numPr>
          <w:ilvl w:val="5"/>
          <w:numId w:val="2"/>
        </w:numPr>
        <w:ind w:left="1770" w:hanging="415.99999999999994"/>
        <w:rPr/>
      </w:pPr>
      <w:r w:rsidDel="00000000" w:rsidR="00000000" w:rsidRPr="00000000">
        <w:rPr>
          <w:rtl w:val="0"/>
        </w:rPr>
        <w:t xml:space="preserve">The elimination of all forms of forced or compulsory labor.</w:t>
      </w:r>
    </w:p>
    <w:p w:rsidR="00000000" w:rsidDel="00000000" w:rsidP="00000000" w:rsidRDefault="00000000" w:rsidRPr="00000000" w14:paraId="0000002F">
      <w:pPr>
        <w:numPr>
          <w:ilvl w:val="5"/>
          <w:numId w:val="2"/>
        </w:numPr>
        <w:ind w:left="1770" w:hanging="415.99999999999994"/>
        <w:rPr/>
      </w:pPr>
      <w:r w:rsidDel="00000000" w:rsidR="00000000" w:rsidRPr="00000000">
        <w:rPr>
          <w:rtl w:val="0"/>
        </w:rPr>
        <w:t xml:space="preserve">The effective abolition of child labor.</w:t>
      </w:r>
    </w:p>
    <w:p w:rsidR="00000000" w:rsidDel="00000000" w:rsidP="00000000" w:rsidRDefault="00000000" w:rsidRPr="00000000" w14:paraId="00000030">
      <w:pPr>
        <w:numPr>
          <w:ilvl w:val="5"/>
          <w:numId w:val="2"/>
        </w:numPr>
        <w:ind w:left="1770" w:hanging="415.99999999999994"/>
        <w:rPr/>
      </w:pPr>
      <w:r w:rsidDel="00000000" w:rsidR="00000000" w:rsidRPr="00000000">
        <w:rPr>
          <w:rtl w:val="0"/>
        </w:rPr>
        <w:t xml:space="preserve">The elimination of discrimination in respect of employment and occupation.</w:t>
      </w:r>
    </w:p>
    <w:p w:rsidR="00000000" w:rsidDel="00000000" w:rsidP="00000000" w:rsidRDefault="00000000" w:rsidRPr="00000000" w14:paraId="00000031">
      <w:pPr>
        <w:numPr>
          <w:ilvl w:val="5"/>
          <w:numId w:val="2"/>
        </w:numPr>
        <w:ind w:left="1770" w:hanging="415.99999999999994"/>
        <w:rPr/>
      </w:pPr>
      <w:r w:rsidDel="00000000" w:rsidR="00000000" w:rsidRPr="00000000">
        <w:rPr>
          <w:rtl w:val="0"/>
        </w:rPr>
        <w:t xml:space="preserve">A safe and healthy working environment.</w:t>
      </w:r>
    </w:p>
    <w:p w:rsidR="00000000" w:rsidDel="00000000" w:rsidP="00000000" w:rsidRDefault="00000000" w:rsidRPr="00000000" w14:paraId="00000032">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PRODUCT REPORTING</w:t>
      </w:r>
      <w:r w:rsidDel="00000000" w:rsidR="00000000" w:rsidRPr="00000000">
        <w:rPr>
          <w:rtl w:val="0"/>
        </w:rPr>
      </w:r>
    </w:p>
    <w:p w:rsidR="00000000" w:rsidDel="00000000" w:rsidP="00000000" w:rsidRDefault="00000000" w:rsidRPr="00000000" w14:paraId="00000033">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Buy Clean and Buy Fair Washington Act Product Reporting Scope: All "Covered Products" as defined in Part 2 "MATERIALS SOURCING" paragraphs below.</w:t>
      </w:r>
      <w:r w:rsidDel="00000000" w:rsidR="00000000" w:rsidRPr="00000000">
        <w:rPr>
          <w:rtl w:val="0"/>
        </w:rPr>
      </w:r>
    </w:p>
    <w:p w:rsidR="00000000" w:rsidDel="00000000" w:rsidP="00000000" w:rsidRDefault="00000000" w:rsidRPr="00000000" w14:paraId="00000034">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Low-Embodied Carbon Product Reporting Scope: All products covered by "Low-Embodied Carbon Product Reporting Categories" in Part 2 - LOW-EMBODIED CARBON MATERIALS paragraphs in this section.</w:t>
      </w:r>
      <w:r w:rsidDel="00000000" w:rsidR="00000000" w:rsidRPr="00000000">
        <w:rPr>
          <w:rtl w:val="0"/>
        </w:rPr>
      </w:r>
    </w:p>
    <w:p w:rsidR="00000000" w:rsidDel="00000000" w:rsidP="00000000" w:rsidRDefault="00000000" w:rsidRPr="00000000" w14:paraId="00000035">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REFERENCE STANDARDS</w:t>
      </w:r>
      <w:r w:rsidDel="00000000" w:rsidR="00000000" w:rsidRPr="00000000">
        <w:rPr>
          <w:rtl w:val="0"/>
        </w:rPr>
      </w:r>
    </w:p>
    <w:p w:rsidR="00000000" w:rsidDel="00000000" w:rsidP="00000000" w:rsidRDefault="00000000" w:rsidRPr="00000000" w14:paraId="00000036">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HPD - Health Product Declaration.</w:t>
      </w:r>
      <w:r w:rsidDel="00000000" w:rsidR="00000000" w:rsidRPr="00000000">
        <w:rPr>
          <w:rtl w:val="0"/>
        </w:rPr>
      </w:r>
    </w:p>
    <w:p w:rsidR="00000000" w:rsidDel="00000000" w:rsidP="00000000" w:rsidRDefault="00000000" w:rsidRPr="00000000" w14:paraId="00000037">
      <w:pPr>
        <w:numPr>
          <w:ilvl w:val="3"/>
          <w:numId w:val="2"/>
        </w:numPr>
        <w:pBdr>
          <w:top w:space="0" w:sz="0" w:val="nil"/>
          <w:left w:space="0" w:sz="0" w:val="nil"/>
          <w:bottom w:space="0" w:sz="0" w:val="nil"/>
          <w:right w:space="0" w:sz="0" w:val="nil"/>
          <w:between w:space="0" w:sz="0" w:val="nil"/>
        </w:pBdr>
        <w:ind w:left="892" w:hanging="417"/>
        <w:rPr>
          <w:u w:val="none"/>
        </w:rPr>
      </w:pPr>
      <w:r w:rsidDel="00000000" w:rsidR="00000000" w:rsidRPr="00000000">
        <w:rPr>
          <w:rtl w:val="0"/>
        </w:rPr>
        <w:t xml:space="preserve">ILO Declaration on Fundamental Principles and Rights at Work.</w:t>
      </w:r>
    </w:p>
    <w:p w:rsidR="00000000" w:rsidDel="00000000" w:rsidP="00000000" w:rsidRDefault="00000000" w:rsidRPr="00000000" w14:paraId="00000038">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ISO 14044 - Environmental management - Life cycle assessment - Requirements and guidelines.</w:t>
      </w:r>
      <w:r w:rsidDel="00000000" w:rsidR="00000000" w:rsidRPr="00000000">
        <w:rPr>
          <w:rtl w:val="0"/>
        </w:rPr>
      </w:r>
    </w:p>
    <w:p w:rsidR="00000000" w:rsidDel="00000000" w:rsidP="00000000" w:rsidRDefault="00000000" w:rsidRPr="00000000" w14:paraId="00000039">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ISO 14025 - Environmental labels and declarations — Type III environmental declarations —Principles and procedures</w:t>
      </w:r>
    </w:p>
    <w:p w:rsidR="00000000" w:rsidDel="00000000" w:rsidP="00000000" w:rsidRDefault="00000000" w:rsidRPr="00000000" w14:paraId="0000003A">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ISO 14040 - Environmental management - Life cycle assessment - Principles and framework.</w:t>
      </w:r>
      <w:r w:rsidDel="00000000" w:rsidR="00000000" w:rsidRPr="00000000">
        <w:rPr>
          <w:rtl w:val="0"/>
        </w:rPr>
      </w:r>
    </w:p>
    <w:p w:rsidR="00000000" w:rsidDel="00000000" w:rsidP="00000000" w:rsidRDefault="00000000" w:rsidRPr="00000000" w14:paraId="0000003B">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ISO 21930 - Sustainability in buildings and civil engineering works -- Core rules for environmental product declarations of construction products and services.</w:t>
      </w:r>
      <w:r w:rsidDel="00000000" w:rsidR="00000000" w:rsidRPr="00000000">
        <w:rPr>
          <w:rtl w:val="0"/>
        </w:rPr>
      </w:r>
    </w:p>
    <w:p w:rsidR="00000000" w:rsidDel="00000000" w:rsidP="00000000" w:rsidRDefault="00000000" w:rsidRPr="00000000" w14:paraId="0000003C">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SUBMITTALS</w:t>
      </w:r>
    </w:p>
    <w:p w:rsidR="00000000" w:rsidDel="00000000" w:rsidP="00000000" w:rsidRDefault="00000000" w:rsidRPr="00000000" w14:paraId="0000003D">
      <w:pPr>
        <w:rPr/>
      </w:pPr>
      <w:r w:rsidDel="00000000" w:rsidR="00000000" w:rsidRPr="00000000">
        <w:rPr>
          <w:i w:val="1"/>
          <w:color w:val="ff0000"/>
          <w:rtl w:val="0"/>
        </w:rPr>
        <w:t xml:space="preserve">[The purpose of this requirement is to confirm that the contractor has designated a capable sustainable design manager for the project. Qualifications could include professional accreditations like LEED AP and/or experience with sustainable design documentation on a previous construction project.]</w:t>
      </w:r>
      <w:r w:rsidDel="00000000" w:rsidR="00000000" w:rsidRPr="00000000">
        <w:rPr>
          <w:rtl w:val="0"/>
        </w:rPr>
      </w:r>
    </w:p>
    <w:p w:rsidR="00000000" w:rsidDel="00000000" w:rsidP="00000000" w:rsidRDefault="00000000" w:rsidRPr="00000000" w14:paraId="0000003E">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Qualification Data</w:t>
      </w:r>
      <w:r w:rsidDel="00000000" w:rsidR="00000000" w:rsidRPr="00000000">
        <w:rPr>
          <w:color w:val="000000"/>
          <w:rtl w:val="0"/>
        </w:rPr>
        <w:t xml:space="preserve">: For ​​​Contractor​​​ 's Sustainable Design Coordinator.</w:t>
      </w:r>
      <w:r w:rsidDel="00000000" w:rsidR="00000000" w:rsidRPr="00000000">
        <w:rPr>
          <w:rtl w:val="0"/>
        </w:rPr>
      </w:r>
    </w:p>
    <w:p w:rsidR="00000000" w:rsidDel="00000000" w:rsidP="00000000" w:rsidRDefault="00000000" w:rsidRPr="00000000" w14:paraId="0000003F">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Design Documentation: The scope of required documentation to demonstrate compliance with Buy Clean and Buy Fair Washington Act is specified in some individual specification sections; other scope is specified in this section and its related forms only.</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0" w:firstLine="0"/>
        <w:rPr>
          <w:i w:val="1"/>
          <w:color w:val="ff0000"/>
        </w:rPr>
      </w:pPr>
      <w:r w:rsidDel="00000000" w:rsidR="00000000" w:rsidRPr="00000000">
        <w:rPr>
          <w:i w:val="1"/>
          <w:color w:val="ff0000"/>
          <w:rtl w:val="0"/>
        </w:rPr>
        <w:t xml:space="preserve">[“Sustainable Product Data Reporting Forms” are both a tool for confirming compliance with sustainable material requirements and useful for gathering data needed for Buy Clean and Buy Fair Washington Act reporting.]</w:t>
      </w:r>
    </w:p>
    <w:p w:rsidR="00000000" w:rsidDel="00000000" w:rsidP="00000000" w:rsidRDefault="00000000" w:rsidRPr="00000000" w14:paraId="00000041">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New Product Documentation: For each new product used in the Project, submit a Sustainable Product Data Reporting Form, with evidence of compliance attached.</w:t>
      </w:r>
      <w:r w:rsidDel="00000000" w:rsidR="00000000" w:rsidRPr="00000000">
        <w:rPr>
          <w:rtl w:val="0"/>
        </w:rPr>
      </w:r>
    </w:p>
    <w:p w:rsidR="00000000" w:rsidDel="00000000" w:rsidP="00000000" w:rsidRDefault="00000000" w:rsidRPr="00000000" w14:paraId="00000042">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 Sustainable Product Data Reporting Form shall be submitted for all Buy Clean and Buy Fair Washington Act “Covered Product Types” to be installed on the project. Submit</w:t>
      </w:r>
      <w:r w:rsidDel="00000000" w:rsidR="00000000" w:rsidRPr="00000000">
        <w:rPr>
          <w:rtl w:val="0"/>
        </w:rPr>
        <w:t xml:space="preserve"> at the following times:</w:t>
      </w:r>
    </w:p>
    <w:p w:rsidR="00000000" w:rsidDel="00000000" w:rsidP="00000000" w:rsidRDefault="00000000" w:rsidRPr="00000000" w14:paraId="00000043">
      <w:pPr>
        <w:numPr>
          <w:ilvl w:val="5"/>
          <w:numId w:val="2"/>
        </w:numPr>
        <w:pBdr>
          <w:top w:space="0" w:sz="0" w:val="nil"/>
          <w:left w:space="0" w:sz="0" w:val="nil"/>
          <w:bottom w:space="0" w:sz="0" w:val="nil"/>
          <w:right w:space="0" w:sz="0" w:val="nil"/>
          <w:between w:space="0" w:sz="0" w:val="nil"/>
        </w:pBdr>
        <w:ind w:left="1770" w:hanging="416.9999999999999"/>
        <w:rPr>
          <w:u w:val="none"/>
        </w:rPr>
      </w:pPr>
      <w:r w:rsidDel="00000000" w:rsidR="00000000" w:rsidRPr="00000000">
        <w:rPr>
          <w:rtl w:val="0"/>
        </w:rPr>
        <w:t xml:space="preserve">At same time as other product data submittals.</w:t>
      </w:r>
    </w:p>
    <w:p w:rsidR="00000000" w:rsidDel="00000000" w:rsidP="00000000" w:rsidRDefault="00000000" w:rsidRPr="00000000" w14:paraId="00000044">
      <w:pPr>
        <w:numPr>
          <w:ilvl w:val="5"/>
          <w:numId w:val="2"/>
        </w:numPr>
        <w:pBdr>
          <w:top w:space="0" w:sz="0" w:val="nil"/>
          <w:left w:space="0" w:sz="0" w:val="nil"/>
          <w:bottom w:space="0" w:sz="0" w:val="nil"/>
          <w:right w:space="0" w:sz="0" w:val="nil"/>
          <w:between w:space="0" w:sz="0" w:val="nil"/>
        </w:pBdr>
        <w:ind w:left="1770" w:hanging="416.9999999999999"/>
        <w:rPr>
          <w:u w:val="none"/>
        </w:rPr>
      </w:pPr>
      <w:r w:rsidDel="00000000" w:rsidR="00000000" w:rsidRPr="00000000">
        <w:rPr>
          <w:rtl w:val="0"/>
        </w:rPr>
        <w:t xml:space="preserve">At project closeout to verify procured/installed products. </w:t>
      </w:r>
    </w:p>
    <w:p w:rsidR="00000000" w:rsidDel="00000000" w:rsidP="00000000" w:rsidRDefault="00000000" w:rsidRPr="00000000" w14:paraId="00000045">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For all submittals, attach evidence of compliance from either the manufacturer or an independent agency.</w:t>
      </w:r>
      <w:r w:rsidDel="00000000" w:rsidR="00000000" w:rsidRPr="00000000">
        <w:rPr>
          <w:rtl w:val="0"/>
        </w:rPr>
      </w:r>
    </w:p>
    <w:p w:rsidR="00000000" w:rsidDel="00000000" w:rsidP="00000000" w:rsidRDefault="00000000" w:rsidRPr="00000000" w14:paraId="00000046">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Acceptable evidence of compliance may include specific Product Data Sheets, Cut Sheets, Product Specific Letter from Manufacturer, and materials transparency/sustainability documents (HPDs, EPDs, etc.)</w:t>
      </w:r>
      <w:r w:rsidDel="00000000" w:rsidR="00000000" w:rsidRPr="00000000">
        <w:rPr>
          <w:rtl w:val="0"/>
        </w:rPr>
      </w:r>
    </w:p>
    <w:p w:rsidR="00000000" w:rsidDel="00000000" w:rsidP="00000000" w:rsidRDefault="00000000" w:rsidRPr="00000000" w14:paraId="00000047">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Do not include generic marketing materials.</w:t>
      </w:r>
      <w:r w:rsidDel="00000000" w:rsidR="00000000" w:rsidRPr="00000000">
        <w:rPr>
          <w:rtl w:val="0"/>
        </w:rPr>
      </w:r>
    </w:p>
    <w:p w:rsidR="00000000" w:rsidDel="00000000" w:rsidP="00000000" w:rsidRDefault="00000000" w:rsidRPr="00000000" w14:paraId="00000048">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Include Material Quantity and Cost data.</w:t>
      </w:r>
      <w:r w:rsidDel="00000000" w:rsidR="00000000" w:rsidRPr="00000000">
        <w:rPr>
          <w:rtl w:val="0"/>
        </w:rPr>
      </w:r>
    </w:p>
    <w:p w:rsidR="00000000" w:rsidDel="00000000" w:rsidP="00000000" w:rsidRDefault="00000000" w:rsidRPr="00000000" w14:paraId="00000049">
      <w:pPr>
        <w:rPr/>
      </w:pPr>
      <w:r w:rsidDel="00000000" w:rsidR="00000000" w:rsidRPr="00000000">
        <w:rPr>
          <w:i w:val="1"/>
          <w:color w:val="ff0000"/>
          <w:rtl w:val="0"/>
        </w:rPr>
        <w:t xml:space="preserve">[The purpose of this requirement is to confirm that the contractor understands and is proactively using sustainable materials criteria as part of their procurement process. An acceptable “Sustainable Product Procurement Plan” could be a simple list of product types which cites which criteria each product type is targeting compliance with for the project. To formally document this plan, the contractor could complete a preliminary procurement “Sustainable Product Data Reporting Form” for all covered product types.]</w:t>
      </w:r>
      <w:r w:rsidDel="00000000" w:rsidR="00000000" w:rsidRPr="00000000">
        <w:rPr>
          <w:rtl w:val="0"/>
        </w:rPr>
      </w:r>
    </w:p>
    <w:p w:rsidR="00000000" w:rsidDel="00000000" w:rsidP="00000000" w:rsidRDefault="00000000" w:rsidRPr="00000000" w14:paraId="0000004A">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Sustainability Action Plans: Within 30 days of Notice to Proceed, submit the following action plan:</w:t>
      </w:r>
      <w:r w:rsidDel="00000000" w:rsidR="00000000" w:rsidRPr="00000000">
        <w:rPr>
          <w:rtl w:val="0"/>
        </w:rPr>
      </w:r>
    </w:p>
    <w:p w:rsidR="00000000" w:rsidDel="00000000" w:rsidP="00000000" w:rsidRDefault="00000000" w:rsidRPr="00000000" w14:paraId="0000004B">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Sustainable Product Procurement Plan</w:t>
      </w:r>
      <w:r w:rsidDel="00000000" w:rsidR="00000000" w:rsidRPr="00000000">
        <w:rPr>
          <w:color w:val="000000"/>
          <w:rtl w:val="0"/>
        </w:rPr>
        <w:t xml:space="preserve">:  The contractor’s selection of sub-contractors and their selection of material suppliers is of critical importance in meeting the requirements of the following:</w:t>
      </w:r>
      <w:r w:rsidDel="00000000" w:rsidR="00000000" w:rsidRPr="00000000">
        <w:rPr>
          <w:rtl w:val="0"/>
        </w:rPr>
      </w:r>
    </w:p>
    <w:p w:rsidR="00000000" w:rsidDel="00000000" w:rsidP="00000000" w:rsidRDefault="00000000" w:rsidRPr="00000000" w14:paraId="0000004C">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Buy Clean and Buy Fair Washington Act compliance.</w:t>
      </w:r>
      <w:r w:rsidDel="00000000" w:rsidR="00000000" w:rsidRPr="00000000">
        <w:rPr>
          <w:rtl w:val="0"/>
        </w:rPr>
      </w:r>
    </w:p>
    <w:p w:rsidR="00000000" w:rsidDel="00000000" w:rsidP="00000000" w:rsidRDefault="00000000" w:rsidRPr="00000000" w14:paraId="0000004D">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Project-specific embodied carbon optimization.</w:t>
      </w:r>
      <w:r w:rsidDel="00000000" w:rsidR="00000000" w:rsidRPr="00000000">
        <w:rPr>
          <w:rtl w:val="0"/>
        </w:rPr>
      </w:r>
    </w:p>
    <w:p w:rsidR="00000000" w:rsidDel="00000000" w:rsidP="00000000" w:rsidRDefault="00000000" w:rsidRPr="00000000" w14:paraId="0000004E">
      <w:pPr>
        <w:rPr/>
      </w:pPr>
      <w:r w:rsidDel="00000000" w:rsidR="00000000" w:rsidRPr="00000000">
        <w:rPr>
          <w:i w:val="1"/>
          <w:color w:val="ff0000"/>
          <w:rtl w:val="0"/>
        </w:rPr>
        <w:t xml:space="preserve">[The purpose of this requirement is to confirm that the contractor is meeting and tracking compliance with sustainable materials criteria throughout the construction process. It is important to make sure that materials meet requirements before buy-out of products and that all documentation has been obtained before subcontractors of covered product types have completed their work.]</w:t>
      </w:r>
      <w:r w:rsidDel="00000000" w:rsidR="00000000" w:rsidRPr="00000000">
        <w:rPr>
          <w:rtl w:val="0"/>
        </w:rPr>
      </w:r>
    </w:p>
    <w:p w:rsidR="00000000" w:rsidDel="00000000" w:rsidP="00000000" w:rsidRDefault="00000000" w:rsidRPr="00000000" w14:paraId="0000004F">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Sustainability Progress Reports: </w:t>
      </w:r>
      <w:r w:rsidDel="00000000" w:rsidR="00000000" w:rsidRPr="00000000">
        <w:rPr>
          <w:color w:val="000000"/>
          <w:rtl w:val="0"/>
        </w:rPr>
        <w:t xml:space="preserve">Concurrent with each Application for Payment, submit reports summarizing progress in construction and purchasing activities demonstrating implementation of the Sustainability Action Plans.</w:t>
      </w:r>
      <w:r w:rsidDel="00000000" w:rsidR="00000000" w:rsidRPr="00000000">
        <w:rPr>
          <w:rtl w:val="0"/>
        </w:rPr>
      </w:r>
    </w:p>
    <w:p w:rsidR="00000000" w:rsidDel="00000000" w:rsidP="00000000" w:rsidRDefault="00000000" w:rsidRPr="00000000" w14:paraId="00000050">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Sustainable Product Procurement: Provide Buy Clean and Buy Fair Washington Act Materials Tracking updates to the Architect and Owner at least monthly throughout construction. Contractor shall aggregate product data from each Sustainable Product Data Reporting Form.</w:t>
      </w:r>
      <w:r w:rsidDel="00000000" w:rsidR="00000000" w:rsidRPr="00000000">
        <w:rPr>
          <w:rtl w:val="0"/>
        </w:rPr>
      </w:r>
    </w:p>
    <w:p w:rsidR="00000000" w:rsidDel="00000000" w:rsidP="00000000" w:rsidRDefault="00000000" w:rsidRPr="00000000" w14:paraId="00000051">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Project-Specific Embodied Carbon Optimization: Provide embodied carbon updates to the Architect and Owner at least monthly throughout construction for each optimized product that type that includes the following:</w:t>
      </w:r>
      <w:r w:rsidDel="00000000" w:rsidR="00000000" w:rsidRPr="00000000">
        <w:rPr>
          <w:rtl w:val="0"/>
        </w:rPr>
      </w:r>
    </w:p>
    <w:p w:rsidR="00000000" w:rsidDel="00000000" w:rsidP="00000000" w:rsidRDefault="00000000" w:rsidRPr="00000000" w14:paraId="00000052">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Declared unit quantity of each applicable material.</w:t>
      </w:r>
      <w:r w:rsidDel="00000000" w:rsidR="00000000" w:rsidRPr="00000000">
        <w:rPr>
          <w:rtl w:val="0"/>
        </w:rPr>
      </w:r>
    </w:p>
    <w:p w:rsidR="00000000" w:rsidDel="00000000" w:rsidP="00000000" w:rsidRDefault="00000000" w:rsidRPr="00000000" w14:paraId="00000053">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Required material baseline (if applicable).</w:t>
      </w:r>
      <w:r w:rsidDel="00000000" w:rsidR="00000000" w:rsidRPr="00000000">
        <w:rPr>
          <w:rtl w:val="0"/>
        </w:rPr>
      </w:r>
    </w:p>
    <w:p w:rsidR="00000000" w:rsidDel="00000000" w:rsidP="00000000" w:rsidRDefault="00000000" w:rsidRPr="00000000" w14:paraId="00000054">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Realized carbon emissions (declared unit quantity x kgCO2e/declared unit).</w:t>
      </w:r>
      <w:r w:rsidDel="00000000" w:rsidR="00000000" w:rsidRPr="00000000">
        <w:rPr>
          <w:rtl w:val="0"/>
        </w:rPr>
      </w:r>
    </w:p>
    <w:p w:rsidR="00000000" w:rsidDel="00000000" w:rsidP="00000000" w:rsidRDefault="00000000" w:rsidRPr="00000000" w14:paraId="00000055">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Environmental Product Declaration (EPDs) that document embodied carbon data.</w:t>
      </w:r>
      <w:r w:rsidDel="00000000" w:rsidR="00000000" w:rsidRPr="00000000">
        <w:rPr>
          <w:rtl w:val="0"/>
        </w:rPr>
      </w:r>
    </w:p>
    <w:p w:rsidR="00000000" w:rsidDel="00000000" w:rsidP="00000000" w:rsidRDefault="00000000" w:rsidRPr="00000000" w14:paraId="00000056">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ADMINISTRATIVE REQUIREMENTS</w:t>
      </w:r>
    </w:p>
    <w:p w:rsidR="00000000" w:rsidDel="00000000" w:rsidP="00000000" w:rsidRDefault="00000000" w:rsidRPr="00000000" w14:paraId="00000057">
      <w:pPr>
        <w:rPr/>
      </w:pPr>
      <w:r w:rsidDel="00000000" w:rsidR="00000000" w:rsidRPr="00000000">
        <w:rPr>
          <w:i w:val="1"/>
          <w:color w:val="ff0000"/>
          <w:rtl w:val="0"/>
        </w:rPr>
        <w:t xml:space="preserve">[The purpose of this requirement is to confirm that the Contractor has a dedicated, qualified professional who is responsible for overseeing and tracking compliance with sustainable materials criteria throughout the construction process.]</w:t>
      </w:r>
      <w:r w:rsidDel="00000000" w:rsidR="00000000" w:rsidRPr="00000000">
        <w:rPr>
          <w:rtl w:val="0"/>
        </w:rPr>
      </w:r>
    </w:p>
    <w:p w:rsidR="00000000" w:rsidDel="00000000" w:rsidP="00000000" w:rsidRDefault="00000000" w:rsidRPr="00000000" w14:paraId="00000058">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Contractor’s Sustainable Design Coordinator: Contractor shall assign an experienced </w:t>
      </w:r>
      <w:r w:rsidDel="00000000" w:rsidR="00000000" w:rsidRPr="00000000">
        <w:rPr>
          <w:rtl w:val="0"/>
        </w:rPr>
        <w:t xml:space="preserve">sustainable design professional </w:t>
      </w:r>
      <w:r w:rsidDel="00000000" w:rsidR="00000000" w:rsidRPr="00000000">
        <w:rPr>
          <w:color w:val="000000"/>
          <w:rtl w:val="0"/>
        </w:rPr>
        <w:t xml:space="preserve">with demonstrated sustainable design project experience to coordinate Buy Clean and Buy Fair Washington Act requirements for the Project. Responsibilities include:</w:t>
      </w:r>
      <w:r w:rsidDel="00000000" w:rsidR="00000000" w:rsidRPr="00000000">
        <w:rPr>
          <w:rtl w:val="0"/>
        </w:rPr>
      </w:r>
    </w:p>
    <w:p w:rsidR="00000000" w:rsidDel="00000000" w:rsidP="00000000" w:rsidRDefault="00000000" w:rsidRPr="00000000" w14:paraId="00000059">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Oversee the sustainable building activities for the project.</w:t>
      </w:r>
      <w:r w:rsidDel="00000000" w:rsidR="00000000" w:rsidRPr="00000000">
        <w:rPr>
          <w:rtl w:val="0"/>
        </w:rPr>
      </w:r>
    </w:p>
    <w:p w:rsidR="00000000" w:rsidDel="00000000" w:rsidP="00000000" w:rsidRDefault="00000000" w:rsidRPr="00000000" w14:paraId="0000005A">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Instruct workers concerning the sustainable building goals.</w:t>
      </w:r>
      <w:r w:rsidDel="00000000" w:rsidR="00000000" w:rsidRPr="00000000">
        <w:rPr>
          <w:rtl w:val="0"/>
        </w:rPr>
      </w:r>
    </w:p>
    <w:p w:rsidR="00000000" w:rsidDel="00000000" w:rsidP="00000000" w:rsidRDefault="00000000" w:rsidRPr="00000000" w14:paraId="0000005B">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Be present on site on a regular basis when Work is in progress.</w:t>
      </w:r>
      <w:r w:rsidDel="00000000" w:rsidR="00000000" w:rsidRPr="00000000">
        <w:rPr>
          <w:rtl w:val="0"/>
        </w:rPr>
      </w:r>
    </w:p>
    <w:p w:rsidR="00000000" w:rsidDel="00000000" w:rsidP="00000000" w:rsidRDefault="00000000" w:rsidRPr="00000000" w14:paraId="0000005C">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Prepare and oversee all Buy Clean and Buy Fair Washington Act related submittals.</w:t>
      </w:r>
      <w:r w:rsidDel="00000000" w:rsidR="00000000" w:rsidRPr="00000000">
        <w:rPr>
          <w:rtl w:val="0"/>
        </w:rPr>
      </w:r>
    </w:p>
    <w:p w:rsidR="00000000" w:rsidDel="00000000" w:rsidP="00000000" w:rsidRDefault="00000000" w:rsidRPr="00000000" w14:paraId="0000005D">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Complete final Buy Clean and Buy Fair Washington Act summary documentation including input of information </w:t>
      </w:r>
      <w:r w:rsidDel="00000000" w:rsidR="00000000" w:rsidRPr="00000000">
        <w:rPr>
          <w:rtl w:val="0"/>
        </w:rPr>
        <w:t xml:space="preserve">into the State</w:t>
      </w:r>
      <w:r w:rsidDel="00000000" w:rsidR="00000000" w:rsidRPr="00000000">
        <w:rPr>
          <w:color w:val="000000"/>
          <w:rtl w:val="0"/>
        </w:rPr>
        <w:t xml:space="preserve"> of Washington database.</w:t>
      </w:r>
      <w:r w:rsidDel="00000000" w:rsidR="00000000" w:rsidRPr="00000000">
        <w:rPr>
          <w:rtl w:val="0"/>
        </w:rPr>
      </w:r>
    </w:p>
    <w:p w:rsidR="00000000" w:rsidDel="00000000" w:rsidP="00000000" w:rsidRDefault="00000000" w:rsidRPr="00000000" w14:paraId="0000005E">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Design Kick-Off Meeting: Schedule a coordination meeting before starting construction, at a time convenient to Owner, Architect, and Subcontract</w:t>
      </w:r>
      <w:r w:rsidDel="00000000" w:rsidR="00000000" w:rsidRPr="00000000">
        <w:rPr>
          <w:rtl w:val="0"/>
        </w:rPr>
        <w:t xml:space="preserve">ors providing Buy Clean and Buy Fair Washington Act “covered product types”.  </w:t>
      </w:r>
    </w:p>
    <w:p w:rsidR="00000000" w:rsidDel="00000000" w:rsidP="00000000" w:rsidRDefault="00000000" w:rsidRPr="00000000" w14:paraId="0000005F">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Agenda: Discuss items of significance that could affect complying with requirements for Buy Clean and Buy Fair Washington Act, including the following:</w:t>
      </w:r>
      <w:r w:rsidDel="00000000" w:rsidR="00000000" w:rsidRPr="00000000">
        <w:rPr>
          <w:rtl w:val="0"/>
        </w:rPr>
      </w:r>
    </w:p>
    <w:p w:rsidR="00000000" w:rsidDel="00000000" w:rsidP="00000000" w:rsidRDefault="00000000" w:rsidRPr="00000000" w14:paraId="00000060">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Buy Clean and Buy Fair Washington Act requirements.</w:t>
      </w:r>
      <w:r w:rsidDel="00000000" w:rsidR="00000000" w:rsidRPr="00000000">
        <w:rPr>
          <w:rtl w:val="0"/>
        </w:rPr>
      </w:r>
    </w:p>
    <w:p w:rsidR="00000000" w:rsidDel="00000000" w:rsidP="00000000" w:rsidRDefault="00000000" w:rsidRPr="00000000" w14:paraId="00000061">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General requirements for related procurement and documentation.</w:t>
      </w:r>
      <w:r w:rsidDel="00000000" w:rsidR="00000000" w:rsidRPr="00000000">
        <w:rPr>
          <w:rtl w:val="0"/>
        </w:rPr>
      </w:r>
    </w:p>
    <w:p w:rsidR="00000000" w:rsidDel="00000000" w:rsidP="00000000" w:rsidRDefault="00000000" w:rsidRPr="00000000" w14:paraId="00000062">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Role of Sustainable Design coordinator.</w:t>
      </w:r>
      <w:r w:rsidDel="00000000" w:rsidR="00000000" w:rsidRPr="00000000">
        <w:rPr>
          <w:rtl w:val="0"/>
        </w:rPr>
      </w:r>
    </w:p>
    <w:p w:rsidR="00000000" w:rsidDel="00000000" w:rsidP="00000000" w:rsidRDefault="00000000" w:rsidRPr="00000000" w14:paraId="00000063">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Project-specific embodied carbon optimization.</w:t>
      </w:r>
      <w:r w:rsidDel="00000000" w:rsidR="00000000" w:rsidRPr="00000000">
        <w:rPr>
          <w:rtl w:val="0"/>
        </w:rPr>
      </w:r>
    </w:p>
    <w:p w:rsidR="00000000" w:rsidDel="00000000" w:rsidP="00000000" w:rsidRDefault="00000000" w:rsidRPr="00000000" w14:paraId="00000064">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Preinstallation Meeting: Convene within 30 days of Notice to Proceed and before beginning work. Meeting to include review of Washington Buy Clean and Buy Fair Act, and/or project-specific requirements and procedures including Sustainable Design Action Plans, Progress Reports, and other documentation required to achieve criteria.</w:t>
      </w:r>
      <w:r w:rsidDel="00000000" w:rsidR="00000000" w:rsidRPr="00000000">
        <w:rPr>
          <w:rtl w:val="0"/>
        </w:rPr>
      </w:r>
    </w:p>
    <w:p w:rsidR="00000000" w:rsidDel="00000000" w:rsidP="00000000" w:rsidRDefault="00000000" w:rsidRPr="00000000" w14:paraId="00000065">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Design Check-In Meetings: Schedule and conduct separate sustainable construction meetings monthly. Meeting attendees shall include at least the following: Owner’s Representative, Architect, Contractor’s Project Manager, Contractor’s Sustainable Design Representative, and Sub- Contractor Representatives as appropriate to stage of Work. Discuss Buy Clean and Buy Fair Washington Act at Pre- bid, Pre-construction, and regular job site meetings.</w:t>
      </w:r>
    </w:p>
    <w:p w:rsidR="00000000" w:rsidDel="00000000" w:rsidP="00000000" w:rsidRDefault="00000000" w:rsidRPr="00000000" w14:paraId="00000066">
      <w:pPr>
        <w:rPr/>
      </w:pPr>
      <w:r w:rsidDel="00000000" w:rsidR="00000000" w:rsidRPr="00000000">
        <w:rPr>
          <w:i w:val="1"/>
          <w:color w:val="ff0000"/>
          <w:rtl w:val="0"/>
        </w:rPr>
        <w:t xml:space="preserve">[The purpose of this requirement is for the Contractor to train Subcontractors on the sustainable materials procurement requirements for the project. This training is especially important for any Subcontractors or their team members who will be supplying applicable products and who were not part of the project when the “Sustainable Design Kick-Off Meeting” was held.]</w:t>
      </w:r>
      <w:r w:rsidDel="00000000" w:rsidR="00000000" w:rsidRPr="00000000">
        <w:rPr>
          <w:rtl w:val="0"/>
        </w:rPr>
      </w:r>
    </w:p>
    <w:p w:rsidR="00000000" w:rsidDel="00000000" w:rsidP="00000000" w:rsidRDefault="00000000" w:rsidRPr="00000000" w14:paraId="00000067">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Design Training Program: Provide environmental training for subcontractors performing Work on the Project site. Training shall include the following:</w:t>
      </w:r>
      <w:r w:rsidDel="00000000" w:rsidR="00000000" w:rsidRPr="00000000">
        <w:rPr>
          <w:rtl w:val="0"/>
        </w:rPr>
      </w:r>
    </w:p>
    <w:p w:rsidR="00000000" w:rsidDel="00000000" w:rsidP="00000000" w:rsidRDefault="00000000" w:rsidRPr="00000000" w14:paraId="00000068">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Sustainable Design Orientation Program: Buy Clean and Buy Fair Washington Act, and other sustainable design requirements for this project.</w:t>
      </w:r>
      <w:r w:rsidDel="00000000" w:rsidR="00000000" w:rsidRPr="00000000">
        <w:rPr>
          <w:rtl w:val="0"/>
        </w:rPr>
      </w:r>
    </w:p>
    <w:p w:rsidR="00000000" w:rsidDel="00000000" w:rsidP="00000000" w:rsidRDefault="00000000" w:rsidRPr="00000000" w14:paraId="00000069">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Procedures for identifying the sustainable design and construction requirements for each trade contractor, as defined through the drawings and specifications.</w:t>
      </w:r>
      <w:r w:rsidDel="00000000" w:rsidR="00000000" w:rsidRPr="00000000">
        <w:rPr>
          <w:rtl w:val="0"/>
        </w:rPr>
      </w:r>
    </w:p>
    <w:p w:rsidR="00000000" w:rsidDel="00000000" w:rsidP="00000000" w:rsidRDefault="00000000" w:rsidRPr="00000000" w14:paraId="0000006A">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Procedures for providing Sustainable Building submittals.</w:t>
      </w:r>
      <w:r w:rsidDel="00000000" w:rsidR="00000000" w:rsidRPr="00000000">
        <w:rPr>
          <w:rtl w:val="0"/>
        </w:rPr>
      </w:r>
    </w:p>
    <w:p w:rsidR="00000000" w:rsidDel="00000000" w:rsidP="00000000" w:rsidRDefault="00000000" w:rsidRPr="00000000" w14:paraId="0000006B">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Coordinate with the Owner’s or Architect's Sustainable Design Consultant for assistance in conducting the Buy Clean and Buy Fair Washington Act orientation program.</w:t>
      </w:r>
    </w:p>
    <w:p w:rsidR="00000000" w:rsidDel="00000000" w:rsidP="00000000" w:rsidRDefault="00000000" w:rsidRPr="00000000" w14:paraId="0000006C">
      <w:pPr>
        <w:numPr>
          <w:ilvl w:val="4"/>
          <w:numId w:val="2"/>
        </w:numPr>
        <w:pBdr>
          <w:top w:space="0" w:sz="0" w:val="nil"/>
          <w:left w:space="0" w:sz="0" w:val="nil"/>
          <w:bottom w:space="0" w:sz="0" w:val="nil"/>
          <w:right w:space="0" w:sz="0" w:val="nil"/>
          <w:between w:space="0" w:sz="0" w:val="nil"/>
        </w:pBdr>
        <w:ind w:left="1367" w:hanging="460"/>
        <w:rPr>
          <w:u w:val="none"/>
        </w:rPr>
      </w:pPr>
      <w:r w:rsidDel="00000000" w:rsidR="00000000" w:rsidRPr="00000000">
        <w:rPr>
          <w:rtl w:val="0"/>
        </w:rPr>
        <w:t xml:space="preserve">At a minimum, </w:t>
      </w:r>
      <w:r w:rsidDel="00000000" w:rsidR="00000000" w:rsidRPr="00000000">
        <w:rPr>
          <w:rtl w:val="0"/>
        </w:rPr>
        <w:t xml:space="preserve">Contractor</w:t>
      </w:r>
      <w:r w:rsidDel="00000000" w:rsidR="00000000" w:rsidRPr="00000000">
        <w:rPr>
          <w:rtl w:val="0"/>
        </w:rPr>
        <w:t xml:space="preserve"> shall provide this training to all subcontractors whose work includes materials identified in the Buy Clean and Buy Fair Washington Act. Refer to the “Covered Product Types” list provided in Part 2 of this Section.</w:t>
      </w:r>
    </w:p>
    <w:p w:rsidR="00000000" w:rsidDel="00000000" w:rsidP="00000000" w:rsidRDefault="00000000" w:rsidRPr="00000000" w14:paraId="0000006D">
      <w:pPr>
        <w:keepNext w:val="1"/>
        <w:keepLines w:val="1"/>
        <w:numPr>
          <w:ilvl w:val="1"/>
          <w:numId w:val="2"/>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2 PRODUCTS</w:t>
      </w:r>
      <w:r w:rsidDel="00000000" w:rsidR="00000000" w:rsidRPr="00000000">
        <w:rPr>
          <w:rtl w:val="0"/>
        </w:rPr>
      </w:r>
    </w:p>
    <w:p w:rsidR="00000000" w:rsidDel="00000000" w:rsidP="00000000" w:rsidRDefault="00000000" w:rsidRPr="00000000" w14:paraId="0000006E">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MATERIALS, GENERAL</w:t>
      </w:r>
      <w:r w:rsidDel="00000000" w:rsidR="00000000" w:rsidRPr="00000000">
        <w:rPr>
          <w:rtl w:val="0"/>
        </w:rPr>
      </w:r>
    </w:p>
    <w:p w:rsidR="00000000" w:rsidDel="00000000" w:rsidP="00000000" w:rsidRDefault="00000000" w:rsidRPr="00000000" w14:paraId="0000006F">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Provide products and procedures necessary to meet requirements in this Section. Although other Sections may specify some requirements that contribute to Buy Clean and Buy Fair Washington Act compliance, the Contractor shall determine additional materials and procedures necessary to demonstrate achievement of measures contributing to compliance.</w:t>
      </w:r>
      <w:r w:rsidDel="00000000" w:rsidR="00000000" w:rsidRPr="00000000">
        <w:rPr>
          <w:rtl w:val="0"/>
        </w:rPr>
      </w:r>
    </w:p>
    <w:p w:rsidR="00000000" w:rsidDel="00000000" w:rsidP="00000000" w:rsidRDefault="00000000" w:rsidRPr="00000000" w14:paraId="00000070">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MATERIALS SOURCING</w:t>
      </w:r>
      <w:r w:rsidDel="00000000" w:rsidR="00000000" w:rsidRPr="00000000">
        <w:rPr>
          <w:rtl w:val="0"/>
        </w:rPr>
      </w:r>
    </w:p>
    <w:p w:rsidR="00000000" w:rsidDel="00000000" w:rsidP="00000000" w:rsidRDefault="00000000" w:rsidRPr="00000000" w14:paraId="00000071">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State of Washington Buy Clean and Buy Fair Act Requirements</w:t>
      </w:r>
      <w:r w:rsidDel="00000000" w:rsidR="00000000" w:rsidRPr="00000000">
        <w:rPr>
          <w:rtl w:val="0"/>
        </w:rPr>
      </w:r>
    </w:p>
    <w:p w:rsidR="00000000" w:rsidDel="00000000" w:rsidP="00000000" w:rsidRDefault="00000000" w:rsidRPr="00000000" w14:paraId="00000072">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The following product data shall be provided for all "covered product types" used in the construction of the project.</w:t>
      </w:r>
      <w:r w:rsidDel="00000000" w:rsidR="00000000" w:rsidRPr="00000000">
        <w:rPr>
          <w:rtl w:val="0"/>
        </w:rPr>
      </w:r>
    </w:p>
    <w:p w:rsidR="00000000" w:rsidDel="00000000" w:rsidP="00000000" w:rsidRDefault="00000000" w:rsidRPr="00000000" w14:paraId="00000073">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Required data for all Buy Clean and Buy Fair Washington Act projects.</w:t>
      </w:r>
      <w:r w:rsidDel="00000000" w:rsidR="00000000" w:rsidRPr="00000000">
        <w:rPr>
          <w:rtl w:val="0"/>
        </w:rPr>
      </w:r>
    </w:p>
    <w:p w:rsidR="00000000" w:rsidDel="00000000" w:rsidP="00000000" w:rsidRDefault="00000000" w:rsidRPr="00000000" w14:paraId="00000074">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Product quantity.</w:t>
      </w:r>
      <w:r w:rsidDel="00000000" w:rsidR="00000000" w:rsidRPr="00000000">
        <w:rPr>
          <w:rtl w:val="0"/>
        </w:rPr>
      </w:r>
    </w:p>
    <w:p w:rsidR="00000000" w:rsidDel="00000000" w:rsidP="00000000" w:rsidRDefault="00000000" w:rsidRPr="00000000" w14:paraId="00000075">
      <w:pPr>
        <w:numPr>
          <w:ilvl w:val="6"/>
          <w:numId w:val="2"/>
        </w:numPr>
        <w:pBdr>
          <w:top w:space="0" w:sz="0" w:val="nil"/>
          <w:left w:space="0" w:sz="0" w:val="nil"/>
          <w:bottom w:space="0" w:sz="0" w:val="nil"/>
          <w:right w:space="0" w:sz="0" w:val="nil"/>
          <w:between w:space="0" w:sz="0" w:val="nil"/>
        </w:pBdr>
        <w:ind w:left="2231" w:hanging="445.99999999999994"/>
        <w:rPr/>
      </w:pPr>
      <w:r w:rsidDel="00000000" w:rsidR="00000000" w:rsidRPr="00000000">
        <w:rPr>
          <w:rtl w:val="0"/>
        </w:rPr>
        <w:t xml:space="preserve">An unexpired</w:t>
      </w:r>
      <w:r w:rsidDel="00000000" w:rsidR="00000000" w:rsidRPr="00000000">
        <w:rPr>
          <w:color w:val="000000"/>
          <w:rtl w:val="0"/>
        </w:rPr>
        <w:t xml:space="preserve"> </w:t>
      </w:r>
      <w:r w:rsidDel="00000000" w:rsidR="00000000" w:rsidRPr="00000000">
        <w:rPr>
          <w:color w:val="000000"/>
          <w:rtl w:val="0"/>
        </w:rPr>
        <w:t xml:space="preserve">Environmental Product Declaration (EPD).</w:t>
      </w:r>
      <w:r w:rsidDel="00000000" w:rsidR="00000000" w:rsidRPr="00000000">
        <w:rPr>
          <w:rtl w:val="0"/>
        </w:rPr>
      </w:r>
    </w:p>
    <w:p w:rsidR="00000000" w:rsidDel="00000000" w:rsidP="00000000" w:rsidRDefault="00000000" w:rsidRPr="00000000" w14:paraId="00000076">
      <w:pPr>
        <w:numPr>
          <w:ilvl w:val="7"/>
          <w:numId w:val="2"/>
        </w:numPr>
        <w:pBdr>
          <w:top w:space="0" w:sz="0" w:val="nil"/>
          <w:left w:space="0" w:sz="0" w:val="nil"/>
          <w:bottom w:space="0" w:sz="0" w:val="nil"/>
          <w:right w:space="0" w:sz="0" w:val="nil"/>
          <w:between w:space="0" w:sz="0" w:val="nil"/>
        </w:pBdr>
        <w:ind w:left="2649" w:hanging="416.9999999999999"/>
        <w:rPr/>
      </w:pPr>
      <w:r w:rsidDel="00000000" w:rsidR="00000000" w:rsidRPr="00000000">
        <w:rPr>
          <w:color w:val="000000"/>
          <w:rtl w:val="0"/>
        </w:rPr>
        <w:t xml:space="preserve">Product and facility-specific EPDs are required.</w:t>
      </w:r>
      <w:r w:rsidDel="00000000" w:rsidR="00000000" w:rsidRPr="00000000">
        <w:rPr>
          <w:rtl w:val="0"/>
        </w:rPr>
      </w:r>
    </w:p>
    <w:p w:rsidR="00000000" w:rsidDel="00000000" w:rsidP="00000000" w:rsidRDefault="00000000" w:rsidRPr="00000000" w14:paraId="00000077">
      <w:pPr>
        <w:numPr>
          <w:ilvl w:val="7"/>
          <w:numId w:val="2"/>
        </w:numPr>
        <w:pBdr>
          <w:top w:space="0" w:sz="0" w:val="nil"/>
          <w:left w:space="0" w:sz="0" w:val="nil"/>
          <w:bottom w:space="0" w:sz="0" w:val="nil"/>
          <w:right w:space="0" w:sz="0" w:val="nil"/>
          <w:between w:space="0" w:sz="0" w:val="nil"/>
        </w:pBdr>
        <w:ind w:left="2649" w:hanging="416.9999999999999"/>
        <w:rPr/>
      </w:pPr>
      <w:r w:rsidDel="00000000" w:rsidR="00000000" w:rsidRPr="00000000">
        <w:rPr>
          <w:color w:val="000000"/>
          <w:rtl w:val="0"/>
        </w:rPr>
        <w:t xml:space="preserve">Product and facility-specific which include supply chain-specific data EPDs are preferred.</w:t>
      </w:r>
      <w:r w:rsidDel="00000000" w:rsidR="00000000" w:rsidRPr="00000000">
        <w:rPr>
          <w:rtl w:val="0"/>
        </w:rPr>
      </w:r>
    </w:p>
    <w:p w:rsidR="00000000" w:rsidDel="00000000" w:rsidP="00000000" w:rsidRDefault="00000000" w:rsidRPr="00000000" w14:paraId="00000078">
      <w:pPr>
        <w:numPr>
          <w:ilvl w:val="7"/>
          <w:numId w:val="2"/>
        </w:numPr>
        <w:pBdr>
          <w:top w:space="0" w:sz="0" w:val="nil"/>
          <w:left w:space="0" w:sz="0" w:val="nil"/>
          <w:bottom w:space="0" w:sz="0" w:val="nil"/>
          <w:right w:space="0" w:sz="0" w:val="nil"/>
          <w:between w:space="0" w:sz="0" w:val="nil"/>
        </w:pBdr>
        <w:ind w:left="2649" w:hanging="416.9999999999999"/>
        <w:rPr>
          <w:u w:val="none"/>
        </w:rPr>
      </w:pPr>
      <w:r w:rsidDel="00000000" w:rsidR="00000000" w:rsidRPr="00000000">
        <w:rPr>
          <w:rtl w:val="0"/>
        </w:rPr>
        <w:t xml:space="preserve">Industry-average EPDs are not acceptable.</w:t>
      </w:r>
      <w:r w:rsidDel="00000000" w:rsidR="00000000" w:rsidRPr="00000000">
        <w:rPr>
          <w:rtl w:val="0"/>
        </w:rPr>
      </w:r>
    </w:p>
    <w:p w:rsidR="00000000" w:rsidDel="00000000" w:rsidP="00000000" w:rsidRDefault="00000000" w:rsidRPr="00000000" w14:paraId="00000079">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Optional additional data</w:t>
      </w:r>
      <w:r w:rsidDel="00000000" w:rsidR="00000000" w:rsidRPr="00000000">
        <w:rPr>
          <w:rtl w:val="0"/>
        </w:rPr>
      </w:r>
    </w:p>
    <w:p w:rsidR="00000000" w:rsidDel="00000000" w:rsidP="00000000" w:rsidRDefault="00000000" w:rsidRPr="00000000" w14:paraId="0000007A">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A current Health Product Declaration (HPD), if available.</w:t>
      </w:r>
      <w:r w:rsidDel="00000000" w:rsidR="00000000" w:rsidRPr="00000000">
        <w:rPr>
          <w:rtl w:val="0"/>
        </w:rPr>
      </w:r>
    </w:p>
    <w:p w:rsidR="00000000" w:rsidDel="00000000" w:rsidP="00000000" w:rsidRDefault="00000000" w:rsidRPr="00000000" w14:paraId="0000007B">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Manufacturer name and location including state or province and country.</w:t>
      </w:r>
      <w:r w:rsidDel="00000000" w:rsidR="00000000" w:rsidRPr="00000000">
        <w:rPr>
          <w:rtl w:val="0"/>
        </w:rPr>
      </w:r>
    </w:p>
    <w:p w:rsidR="00000000" w:rsidDel="00000000" w:rsidP="00000000" w:rsidRDefault="00000000" w:rsidRPr="00000000" w14:paraId="0000007C">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Office of minority- and women-owned business enterprises (MWBE) certification, if applicable.</w:t>
      </w:r>
      <w:r w:rsidDel="00000000" w:rsidR="00000000" w:rsidRPr="00000000">
        <w:rPr>
          <w:rtl w:val="0"/>
        </w:rPr>
      </w:r>
    </w:p>
    <w:p w:rsidR="00000000" w:rsidDel="00000000" w:rsidP="00000000" w:rsidRDefault="00000000" w:rsidRPr="00000000" w14:paraId="0000007D">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Supplier code of conduct, if available.</w:t>
      </w:r>
      <w:r w:rsidDel="00000000" w:rsidR="00000000" w:rsidRPr="00000000">
        <w:rPr>
          <w:rtl w:val="0"/>
        </w:rPr>
      </w:r>
    </w:p>
    <w:p w:rsidR="00000000" w:rsidDel="00000000" w:rsidP="00000000" w:rsidRDefault="00000000" w:rsidRPr="00000000" w14:paraId="0000007E">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Covered Product Types</w:t>
      </w:r>
      <w:r w:rsidDel="00000000" w:rsidR="00000000" w:rsidRPr="00000000">
        <w:rPr>
          <w:rtl w:val="0"/>
        </w:rPr>
      </w:r>
    </w:p>
    <w:p w:rsidR="00000000" w:rsidDel="00000000" w:rsidP="00000000" w:rsidRDefault="00000000" w:rsidRPr="00000000" w14:paraId="0000007F">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Structural concrete products of the following types:</w:t>
      </w:r>
      <w:r w:rsidDel="00000000" w:rsidR="00000000" w:rsidRPr="00000000">
        <w:rPr>
          <w:rtl w:val="0"/>
        </w:rPr>
      </w:r>
    </w:p>
    <w:p w:rsidR="00000000" w:rsidDel="00000000" w:rsidP="00000000" w:rsidRDefault="00000000" w:rsidRPr="00000000" w14:paraId="00000080">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Ready mix (cast-in-place) concrete</w:t>
      </w:r>
      <w:r w:rsidDel="00000000" w:rsidR="00000000" w:rsidRPr="00000000">
        <w:rPr>
          <w:rtl w:val="0"/>
        </w:rPr>
      </w:r>
    </w:p>
    <w:p w:rsidR="00000000" w:rsidDel="00000000" w:rsidP="00000000" w:rsidRDefault="00000000" w:rsidRPr="00000000" w14:paraId="00000081">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Shotcrete</w:t>
      </w:r>
      <w:r w:rsidDel="00000000" w:rsidR="00000000" w:rsidRPr="00000000">
        <w:rPr>
          <w:rtl w:val="0"/>
        </w:rPr>
      </w:r>
    </w:p>
    <w:p w:rsidR="00000000" w:rsidDel="00000000" w:rsidP="00000000" w:rsidRDefault="00000000" w:rsidRPr="00000000" w14:paraId="00000082">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Precast concrete</w:t>
      </w:r>
      <w:r w:rsidDel="00000000" w:rsidR="00000000" w:rsidRPr="00000000">
        <w:rPr>
          <w:rtl w:val="0"/>
        </w:rPr>
      </w:r>
    </w:p>
    <w:p w:rsidR="00000000" w:rsidDel="00000000" w:rsidP="00000000" w:rsidRDefault="00000000" w:rsidRPr="00000000" w14:paraId="00000083">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Concrete masonry units (CMU)</w:t>
      </w:r>
      <w:r w:rsidDel="00000000" w:rsidR="00000000" w:rsidRPr="00000000">
        <w:rPr>
          <w:rtl w:val="0"/>
        </w:rPr>
      </w:r>
    </w:p>
    <w:p w:rsidR="00000000" w:rsidDel="00000000" w:rsidP="00000000" w:rsidRDefault="00000000" w:rsidRPr="00000000" w14:paraId="00000084">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Reinforcing steel products of the following types:</w:t>
      </w:r>
      <w:r w:rsidDel="00000000" w:rsidR="00000000" w:rsidRPr="00000000">
        <w:rPr>
          <w:rtl w:val="0"/>
        </w:rPr>
      </w:r>
    </w:p>
    <w:p w:rsidR="00000000" w:rsidDel="00000000" w:rsidP="00000000" w:rsidRDefault="00000000" w:rsidRPr="00000000" w14:paraId="00000085">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Rebar</w:t>
      </w:r>
      <w:r w:rsidDel="00000000" w:rsidR="00000000" w:rsidRPr="00000000">
        <w:rPr>
          <w:rtl w:val="0"/>
        </w:rPr>
      </w:r>
    </w:p>
    <w:p w:rsidR="00000000" w:rsidDel="00000000" w:rsidP="00000000" w:rsidRDefault="00000000" w:rsidRPr="00000000" w14:paraId="00000086">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Post tensioning tendons</w:t>
      </w:r>
      <w:r w:rsidDel="00000000" w:rsidR="00000000" w:rsidRPr="00000000">
        <w:rPr>
          <w:rtl w:val="0"/>
        </w:rPr>
      </w:r>
    </w:p>
    <w:p w:rsidR="00000000" w:rsidDel="00000000" w:rsidP="00000000" w:rsidRDefault="00000000" w:rsidRPr="00000000" w14:paraId="00000087">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Structural steel products of the following types:</w:t>
      </w:r>
      <w:r w:rsidDel="00000000" w:rsidR="00000000" w:rsidRPr="00000000">
        <w:rPr>
          <w:rtl w:val="0"/>
        </w:rPr>
      </w:r>
    </w:p>
    <w:p w:rsidR="00000000" w:rsidDel="00000000" w:rsidP="00000000" w:rsidRDefault="00000000" w:rsidRPr="00000000" w14:paraId="00000088">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Hot-rolled structural steel</w:t>
      </w:r>
      <w:r w:rsidDel="00000000" w:rsidR="00000000" w:rsidRPr="00000000">
        <w:rPr>
          <w:rtl w:val="0"/>
        </w:rPr>
      </w:r>
    </w:p>
    <w:p w:rsidR="00000000" w:rsidDel="00000000" w:rsidP="00000000" w:rsidRDefault="00000000" w:rsidRPr="00000000" w14:paraId="00000089">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Hollow structural steel</w:t>
      </w:r>
      <w:r w:rsidDel="00000000" w:rsidR="00000000" w:rsidRPr="00000000">
        <w:rPr>
          <w:rtl w:val="0"/>
        </w:rPr>
      </w:r>
    </w:p>
    <w:p w:rsidR="00000000" w:rsidDel="00000000" w:rsidP="00000000" w:rsidRDefault="00000000" w:rsidRPr="00000000" w14:paraId="0000008A">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Metal deck</w:t>
      </w:r>
      <w:r w:rsidDel="00000000" w:rsidR="00000000" w:rsidRPr="00000000">
        <w:rPr>
          <w:rtl w:val="0"/>
        </w:rPr>
      </w:r>
    </w:p>
    <w:p w:rsidR="00000000" w:rsidDel="00000000" w:rsidP="00000000" w:rsidRDefault="00000000" w:rsidRPr="00000000" w14:paraId="0000008B">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Structural steel plate</w:t>
      </w:r>
      <w:r w:rsidDel="00000000" w:rsidR="00000000" w:rsidRPr="00000000">
        <w:rPr>
          <w:rtl w:val="0"/>
        </w:rPr>
      </w:r>
    </w:p>
    <w:p w:rsidR="00000000" w:rsidDel="00000000" w:rsidP="00000000" w:rsidRDefault="00000000" w:rsidRPr="00000000" w14:paraId="0000008C">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Wood products of the following types:</w:t>
      </w:r>
      <w:r w:rsidDel="00000000" w:rsidR="00000000" w:rsidRPr="00000000">
        <w:rPr>
          <w:rtl w:val="0"/>
        </w:rPr>
      </w:r>
    </w:p>
    <w:p w:rsidR="00000000" w:rsidDel="00000000" w:rsidP="00000000" w:rsidRDefault="00000000" w:rsidRPr="00000000" w14:paraId="0000008D">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Glue laminated beams and timbers (Glulam)</w:t>
      </w:r>
      <w:r w:rsidDel="00000000" w:rsidR="00000000" w:rsidRPr="00000000">
        <w:rPr>
          <w:rtl w:val="0"/>
        </w:rPr>
      </w:r>
    </w:p>
    <w:p w:rsidR="00000000" w:rsidDel="00000000" w:rsidP="00000000" w:rsidRDefault="00000000" w:rsidRPr="00000000" w14:paraId="0000008E">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Cross laminated timber (CLT)</w:t>
      </w:r>
      <w:r w:rsidDel="00000000" w:rsidR="00000000" w:rsidRPr="00000000">
        <w:rPr>
          <w:rtl w:val="0"/>
        </w:rPr>
      </w:r>
    </w:p>
    <w:p w:rsidR="00000000" w:rsidDel="00000000" w:rsidP="00000000" w:rsidRDefault="00000000" w:rsidRPr="00000000" w14:paraId="0000008F">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Dowel laminated timber (DLT)</w:t>
      </w:r>
      <w:r w:rsidDel="00000000" w:rsidR="00000000" w:rsidRPr="00000000">
        <w:rPr>
          <w:rtl w:val="0"/>
        </w:rPr>
      </w:r>
    </w:p>
    <w:p w:rsidR="00000000" w:rsidDel="00000000" w:rsidP="00000000" w:rsidRDefault="00000000" w:rsidRPr="00000000" w14:paraId="00000090">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Nail laminated timber (NLT)</w:t>
      </w:r>
      <w:r w:rsidDel="00000000" w:rsidR="00000000" w:rsidRPr="00000000">
        <w:rPr>
          <w:rtl w:val="0"/>
        </w:rPr>
      </w:r>
    </w:p>
    <w:p w:rsidR="00000000" w:rsidDel="00000000" w:rsidP="00000000" w:rsidRDefault="00000000" w:rsidRPr="00000000" w14:paraId="00000091">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Laminated veneer lumber</w:t>
      </w:r>
      <w:r w:rsidDel="00000000" w:rsidR="00000000" w:rsidRPr="00000000">
        <w:rPr>
          <w:rtl w:val="0"/>
        </w:rPr>
      </w:r>
    </w:p>
    <w:p w:rsidR="00000000" w:rsidDel="00000000" w:rsidP="00000000" w:rsidRDefault="00000000" w:rsidRPr="00000000" w14:paraId="00000092">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Parallel strand lumber</w:t>
      </w:r>
      <w:r w:rsidDel="00000000" w:rsidR="00000000" w:rsidRPr="00000000">
        <w:rPr>
          <w:rtl w:val="0"/>
        </w:rPr>
      </w:r>
    </w:p>
    <w:p w:rsidR="00000000" w:rsidDel="00000000" w:rsidP="00000000" w:rsidRDefault="00000000" w:rsidRPr="00000000" w14:paraId="00000093">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Prefabricated wood joists</w:t>
      </w:r>
      <w:r w:rsidDel="00000000" w:rsidR="00000000" w:rsidRPr="00000000">
        <w:rPr>
          <w:rtl w:val="0"/>
        </w:rPr>
      </w:r>
    </w:p>
    <w:p w:rsidR="00000000" w:rsidDel="00000000" w:rsidP="00000000" w:rsidRDefault="00000000" w:rsidRPr="00000000" w14:paraId="00000094">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Wood structural panels</w:t>
      </w:r>
      <w:r w:rsidDel="00000000" w:rsidR="00000000" w:rsidRPr="00000000">
        <w:rPr>
          <w:rtl w:val="0"/>
        </w:rPr>
      </w:r>
    </w:p>
    <w:p w:rsidR="00000000" w:rsidDel="00000000" w:rsidP="00000000" w:rsidRDefault="00000000" w:rsidRPr="00000000" w14:paraId="00000095">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Solid sawn and structural lumber</w:t>
      </w:r>
      <w:r w:rsidDel="00000000" w:rsidR="00000000" w:rsidRPr="00000000">
        <w:rPr>
          <w:rtl w:val="0"/>
        </w:rPr>
      </w:r>
    </w:p>
    <w:p w:rsidR="00000000" w:rsidDel="00000000" w:rsidP="00000000" w:rsidRDefault="00000000" w:rsidRPr="00000000" w14:paraId="00000096">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Structural composite lumber</w:t>
      </w:r>
      <w:r w:rsidDel="00000000" w:rsidR="00000000" w:rsidRPr="00000000">
        <w:rPr>
          <w:rtl w:val="0"/>
        </w:rPr>
      </w:r>
    </w:p>
    <w:p w:rsidR="00000000" w:rsidDel="00000000" w:rsidP="00000000" w:rsidRDefault="00000000" w:rsidRPr="00000000" w14:paraId="00000097">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LOW EMBODIED CARBON MATERIALS</w:t>
      </w:r>
      <w:r w:rsidDel="00000000" w:rsidR="00000000" w:rsidRPr="00000000">
        <w:rPr>
          <w:rtl w:val="0"/>
        </w:rPr>
      </w:r>
    </w:p>
    <w:p w:rsidR="00000000" w:rsidDel="00000000" w:rsidP="00000000" w:rsidRDefault="00000000" w:rsidRPr="00000000" w14:paraId="00000098">
      <w:pPr>
        <w:rPr/>
      </w:pPr>
      <w:r w:rsidDel="00000000" w:rsidR="00000000" w:rsidRPr="00000000">
        <w:rPr>
          <w:i w:val="1"/>
          <w:color w:val="ff0000"/>
          <w:rtl w:val="0"/>
        </w:rPr>
        <w:t xml:space="preserve">[The language below is not required by the Buy Clean and Buy Fair WA Act. If a project team elects to build on the Act’s requirements for “Environmental Product Declarations (EPDs)” by layering on an embodied carbon optimization/reduction strategy, then the language below could be a starting place for specifying those requirements.]</w:t>
      </w:r>
      <w:r w:rsidDel="00000000" w:rsidR="00000000" w:rsidRPr="00000000">
        <w:rPr>
          <w:rtl w:val="0"/>
        </w:rPr>
      </w:r>
    </w:p>
    <w:p w:rsidR="00000000" w:rsidDel="00000000" w:rsidP="00000000" w:rsidRDefault="00000000" w:rsidRPr="00000000" w14:paraId="00000099">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Project Embodied Carbon Optimization: The project has a goal to show embodied carbon reductions from industry baselines for all new products in identified low-embodied carbon reporting categories.</w:t>
      </w:r>
      <w:r w:rsidDel="00000000" w:rsidR="00000000" w:rsidRPr="00000000">
        <w:rPr>
          <w:rtl w:val="0"/>
        </w:rPr>
      </w:r>
    </w:p>
    <w:p w:rsidR="00000000" w:rsidDel="00000000" w:rsidP="00000000" w:rsidRDefault="00000000" w:rsidRPr="00000000" w14:paraId="0000009A">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Embodied Carbon Reductions:  Provide an Environmental Product Declaration as proof of each product’s embodied carbon value.</w:t>
      </w:r>
      <w:r w:rsidDel="00000000" w:rsidR="00000000" w:rsidRPr="00000000">
        <w:rPr>
          <w:rtl w:val="0"/>
        </w:rPr>
      </w:r>
    </w:p>
    <w:p w:rsidR="00000000" w:rsidDel="00000000" w:rsidP="00000000" w:rsidRDefault="00000000" w:rsidRPr="00000000" w14:paraId="0000009B">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Monitor the project’s progress regarding embodied carbon goals on a current tracking </w:t>
      </w:r>
      <w:r w:rsidDel="00000000" w:rsidR="00000000" w:rsidRPr="00000000">
        <w:rPr>
          <w:rtl w:val="0"/>
        </w:rPr>
        <w:t xml:space="preserve">summary</w:t>
      </w:r>
      <w:r w:rsidDel="00000000" w:rsidR="00000000" w:rsidRPr="00000000">
        <w:rPr>
          <w:color w:val="000000"/>
          <w:rtl w:val="0"/>
        </w:rPr>
        <w:t xml:space="preserve"> of the Sustainable P</w:t>
      </w:r>
      <w:r w:rsidDel="00000000" w:rsidR="00000000" w:rsidRPr="00000000">
        <w:rPr>
          <w:rtl w:val="0"/>
        </w:rPr>
        <w:t xml:space="preserve">roduct Data Reporting Form </w:t>
      </w:r>
      <w:r w:rsidDel="00000000" w:rsidR="00000000" w:rsidRPr="00000000">
        <w:rPr>
          <w:color w:val="000000"/>
          <w:rtl w:val="0"/>
        </w:rPr>
        <w:t xml:space="preserve">to be presented at construction meetings to provide updates, that includes the following:</w:t>
      </w:r>
      <w:r w:rsidDel="00000000" w:rsidR="00000000" w:rsidRPr="00000000">
        <w:rPr>
          <w:rtl w:val="0"/>
        </w:rPr>
      </w:r>
    </w:p>
    <w:p w:rsidR="00000000" w:rsidDel="00000000" w:rsidP="00000000" w:rsidRDefault="00000000" w:rsidRPr="00000000" w14:paraId="0000009C">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Declared unit quantity of material.</w:t>
      </w:r>
    </w:p>
    <w:p w:rsidR="00000000" w:rsidDel="00000000" w:rsidP="00000000" w:rsidRDefault="00000000" w:rsidRPr="00000000" w14:paraId="0000009D">
      <w:pPr>
        <w:ind w:left="0" w:firstLine="0"/>
        <w:rPr/>
      </w:pPr>
      <w:r w:rsidDel="00000000" w:rsidR="00000000" w:rsidRPr="00000000">
        <w:rPr>
          <w:i w:val="1"/>
          <w:color w:val="ff0000"/>
          <w:rtl w:val="0"/>
        </w:rPr>
        <w:t xml:space="preserve">[GWP baseline numbers are identified in individual product specification sections. Project teams can opt to set target reductions from these baselines or require GWP limits. GWP limits for product types can be the easiest to document but may be more difficult to achieve for certain materials depending on material availability and the GWP limits set.  If a project team wants to allow flexibility in how a Contractor meets an overall product type embodied carbon reduction from baseline then a weighted average calculation method can be allowed within any material category.]</w:t>
      </w:r>
      <w:r w:rsidDel="00000000" w:rsidR="00000000" w:rsidRPr="00000000">
        <w:rPr>
          <w:rtl w:val="0"/>
        </w:rPr>
      </w:r>
    </w:p>
    <w:p w:rsidR="00000000" w:rsidDel="00000000" w:rsidP="00000000" w:rsidRDefault="00000000" w:rsidRPr="00000000" w14:paraId="0000009E">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Required embodied carbon material </w:t>
      </w:r>
      <w:r w:rsidDel="00000000" w:rsidR="00000000" w:rsidRPr="00000000">
        <w:rPr>
          <w:color w:val="000000"/>
          <w:rtl w:val="0"/>
        </w:rPr>
        <w:t xml:space="preserve">baseline</w:t>
      </w:r>
      <w:r w:rsidDel="00000000" w:rsidR="00000000" w:rsidRPr="00000000">
        <w:rPr>
          <w:color w:val="000000"/>
          <w:rtl w:val="0"/>
        </w:rPr>
        <w:t xml:space="preserve"> as identified in ind</w:t>
      </w:r>
      <w:r w:rsidDel="00000000" w:rsidR="00000000" w:rsidRPr="00000000">
        <w:rPr>
          <w:rtl w:val="0"/>
        </w:rPr>
        <w:t xml:space="preserve">ividual product specification sections.</w:t>
      </w:r>
      <w:r w:rsidDel="00000000" w:rsidR="00000000" w:rsidRPr="00000000">
        <w:rPr>
          <w:rtl w:val="0"/>
        </w:rPr>
      </w:r>
    </w:p>
    <w:p w:rsidR="00000000" w:rsidDel="00000000" w:rsidP="00000000" w:rsidRDefault="00000000" w:rsidRPr="00000000" w14:paraId="0000009F">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Total realized em</w:t>
      </w:r>
      <w:r w:rsidDel="00000000" w:rsidR="00000000" w:rsidRPr="00000000">
        <w:rPr>
          <w:rtl w:val="0"/>
        </w:rPr>
        <w:t xml:space="preserve">bodied </w:t>
      </w:r>
      <w:r w:rsidDel="00000000" w:rsidR="00000000" w:rsidRPr="00000000">
        <w:rPr>
          <w:color w:val="000000"/>
          <w:rtl w:val="0"/>
        </w:rPr>
        <w:t xml:space="preserve">carbon emissions </w:t>
      </w:r>
      <w:r w:rsidDel="00000000" w:rsidR="00000000" w:rsidRPr="00000000">
        <w:rPr>
          <w:color w:val="000000"/>
          <w:rtl w:val="0"/>
        </w:rPr>
        <w:t xml:space="preserve">(declared unit quantity x kgCO2e/declared unit)</w:t>
      </w:r>
      <w:r w:rsidDel="00000000" w:rsidR="00000000" w:rsidRPr="00000000">
        <w:rPr>
          <w:rtl w:val="0"/>
        </w:rPr>
      </w:r>
    </w:p>
    <w:p w:rsidR="00000000" w:rsidDel="00000000" w:rsidP="00000000" w:rsidRDefault="00000000" w:rsidRPr="00000000" w14:paraId="000000A0">
      <w:pPr>
        <w:numPr>
          <w:ilvl w:val="5"/>
          <w:numId w:val="2"/>
        </w:numPr>
        <w:pBdr>
          <w:top w:space="0" w:sz="0" w:val="nil"/>
          <w:left w:space="0" w:sz="0" w:val="nil"/>
          <w:bottom w:space="0" w:sz="0" w:val="nil"/>
          <w:right w:space="0" w:sz="0" w:val="nil"/>
          <w:between w:space="0" w:sz="0" w:val="nil"/>
        </w:pBdr>
        <w:ind w:left="1770" w:hanging="415.99999999999994"/>
        <w:rPr>
          <w:u w:val="none"/>
        </w:rPr>
      </w:pPr>
      <w:r w:rsidDel="00000000" w:rsidR="00000000" w:rsidRPr="00000000">
        <w:rPr>
          <w:color w:val="000000"/>
          <w:rtl w:val="0"/>
        </w:rPr>
        <w:t xml:space="preserve">Carbon emissions reductions achieved for each material (Total carbon emissions/material minus Baseline emissions/material (see 018116 Sustainable Product Data Reporting Form for examples) </w:t>
      </w:r>
      <w:r w:rsidDel="00000000" w:rsidR="00000000" w:rsidRPr="00000000">
        <w:rPr>
          <w:rtl w:val="0"/>
        </w:rPr>
      </w:r>
    </w:p>
    <w:p w:rsidR="00000000" w:rsidDel="00000000" w:rsidP="00000000" w:rsidRDefault="00000000" w:rsidRPr="00000000" w14:paraId="000000A1">
      <w:pPr>
        <w:numPr>
          <w:ilvl w:val="5"/>
          <w:numId w:val="2"/>
        </w:numPr>
        <w:pBdr>
          <w:top w:space="0" w:sz="0" w:val="nil"/>
          <w:left w:space="0" w:sz="0" w:val="nil"/>
          <w:bottom w:space="0" w:sz="0" w:val="nil"/>
          <w:right w:space="0" w:sz="0" w:val="nil"/>
          <w:between w:space="0" w:sz="0" w:val="nil"/>
        </w:pBdr>
        <w:ind w:left="1770" w:hanging="415.99999999999994"/>
        <w:rPr>
          <w:u w:val="none"/>
        </w:rPr>
      </w:pPr>
      <w:r w:rsidDel="00000000" w:rsidR="00000000" w:rsidRPr="00000000">
        <w:rPr>
          <w:rtl w:val="0"/>
        </w:rPr>
        <w:t xml:space="preserve">Contractor may provide additional Sustainable Product Data Reporting Form(s) to show alternate lower carbon products. This optional data shall be accompanied by an official project substitution request which details potential cost, timeframe, and other project impacts of alternate sourcing. </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Contractor to complete as-built EC3 model to confirm realized project embodied carbon reductions.</w:t>
      </w:r>
      <w:r w:rsidDel="00000000" w:rsidR="00000000" w:rsidRPr="00000000">
        <w:rPr>
          <w:rtl w:val="0"/>
        </w:rPr>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Included Materials: All of the following materials must be included in both baseline and verified reduction calculations if they are used on the project:</w:t>
      </w:r>
      <w:r w:rsidDel="00000000" w:rsidR="00000000" w:rsidRPr="00000000">
        <w:rPr>
          <w:rtl w:val="0"/>
        </w:rPr>
      </w:r>
    </w:p>
    <w:p w:rsidR="00000000" w:rsidDel="00000000" w:rsidP="00000000" w:rsidRDefault="00000000" w:rsidRPr="00000000" w14:paraId="000000A4">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Low-Embodied Carbon Reporting - Required Product Types</w:t>
      </w:r>
      <w:r w:rsidDel="00000000" w:rsidR="00000000" w:rsidRPr="00000000">
        <w:rPr>
          <w:rtl w:val="0"/>
        </w:rPr>
      </w:r>
    </w:p>
    <w:p w:rsidR="00000000" w:rsidDel="00000000" w:rsidP="00000000" w:rsidRDefault="00000000" w:rsidRPr="00000000" w14:paraId="000000A5">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[Insert project-specific product type].</w:t>
      </w:r>
      <w:r w:rsidDel="00000000" w:rsidR="00000000" w:rsidRPr="00000000">
        <w:rPr>
          <w:rtl w:val="0"/>
        </w:rPr>
      </w:r>
    </w:p>
    <w:p w:rsidR="00000000" w:rsidDel="00000000" w:rsidP="00000000" w:rsidRDefault="00000000" w:rsidRPr="00000000" w14:paraId="000000A6">
      <w:pPr>
        <w:numPr>
          <w:ilvl w:val="6"/>
          <w:numId w:val="2"/>
        </w:numPr>
        <w:ind w:left="2231" w:hanging="445"/>
        <w:rPr/>
      </w:pPr>
      <w:r w:rsidDel="00000000" w:rsidR="00000000" w:rsidRPr="00000000">
        <w:rPr>
          <w:rtl w:val="0"/>
        </w:rPr>
        <w:t xml:space="preserve">[Insert project-specific product type].</w:t>
      </w:r>
    </w:p>
    <w:p w:rsidR="00000000" w:rsidDel="00000000" w:rsidP="00000000" w:rsidRDefault="00000000" w:rsidRPr="00000000" w14:paraId="000000A7">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For each required product type, For each of the above material types provide an Environmental Product Declaration (EPD) that includes the following:</w:t>
      </w:r>
      <w:r w:rsidDel="00000000" w:rsidR="00000000" w:rsidRPr="00000000">
        <w:rPr>
          <w:rtl w:val="0"/>
        </w:rPr>
      </w:r>
    </w:p>
    <w:p w:rsidR="00000000" w:rsidDel="00000000" w:rsidP="00000000" w:rsidRDefault="00000000" w:rsidRPr="00000000" w14:paraId="000000A8">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Product Category Rule</w:t>
      </w:r>
      <w:r w:rsidDel="00000000" w:rsidR="00000000" w:rsidRPr="00000000">
        <w:rPr>
          <w:rtl w:val="0"/>
        </w:rPr>
      </w:r>
    </w:p>
    <w:p w:rsidR="00000000" w:rsidDel="00000000" w:rsidP="00000000" w:rsidRDefault="00000000" w:rsidRPr="00000000" w14:paraId="000000A9">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Declared Unit</w:t>
      </w:r>
      <w:r w:rsidDel="00000000" w:rsidR="00000000" w:rsidRPr="00000000">
        <w:rPr>
          <w:rtl w:val="0"/>
        </w:rPr>
      </w:r>
    </w:p>
    <w:p w:rsidR="00000000" w:rsidDel="00000000" w:rsidP="00000000" w:rsidRDefault="00000000" w:rsidRPr="00000000" w14:paraId="000000AA">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System Boundary</w:t>
      </w:r>
      <w:r w:rsidDel="00000000" w:rsidR="00000000" w:rsidRPr="00000000">
        <w:rPr>
          <w:rtl w:val="0"/>
        </w:rPr>
      </w:r>
    </w:p>
    <w:p w:rsidR="00000000" w:rsidDel="00000000" w:rsidP="00000000" w:rsidRDefault="00000000" w:rsidRPr="00000000" w14:paraId="000000AB">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Embodied Carbon Value as expressed in Global Warming Potential (GWP)</w:t>
      </w:r>
      <w:r w:rsidDel="00000000" w:rsidR="00000000" w:rsidRPr="00000000">
        <w:rPr>
          <w:rtl w:val="0"/>
        </w:rPr>
      </w:r>
    </w:p>
    <w:p w:rsidR="00000000" w:rsidDel="00000000" w:rsidP="00000000" w:rsidRDefault="00000000" w:rsidRPr="00000000" w14:paraId="000000AC">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Environmental Product Declarations: For all product types, maximize permanently installed products with EPDs that meet the following criteria:</w:t>
      </w:r>
      <w:r w:rsidDel="00000000" w:rsidR="00000000" w:rsidRPr="00000000">
        <w:rPr>
          <w:rtl w:val="0"/>
        </w:rPr>
      </w:r>
    </w:p>
    <w:p w:rsidR="00000000" w:rsidDel="00000000" w:rsidP="00000000" w:rsidRDefault="00000000" w:rsidRPr="00000000" w14:paraId="000000AD">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rtl w:val="0"/>
        </w:rPr>
        <w:t xml:space="preserve">Product and facility-specific </w:t>
      </w:r>
      <w:r w:rsidDel="00000000" w:rsidR="00000000" w:rsidRPr="00000000">
        <w:rPr>
          <w:color w:val="000000"/>
          <w:rtl w:val="0"/>
        </w:rPr>
        <w:t xml:space="preserve">, Type III EPD conforming to ISO 14025 and ISO 21930 with at least a cradle-to-gate (A1-A3) scope and third-party verification.</w:t>
      </w:r>
      <w:r w:rsidDel="00000000" w:rsidR="00000000" w:rsidRPr="00000000">
        <w:rPr>
          <w:rtl w:val="0"/>
        </w:rPr>
      </w:r>
    </w:p>
    <w:p w:rsidR="00000000" w:rsidDel="00000000" w:rsidP="00000000" w:rsidRDefault="00000000" w:rsidRPr="00000000" w14:paraId="000000AE">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EPDs shall be unexpired at time of product procurement.</w:t>
      </w:r>
      <w:r w:rsidDel="00000000" w:rsidR="00000000" w:rsidRPr="00000000">
        <w:rPr>
          <w:rtl w:val="0"/>
        </w:rPr>
      </w:r>
    </w:p>
    <w:p w:rsidR="00000000" w:rsidDel="00000000" w:rsidP="00000000" w:rsidRDefault="00000000" w:rsidRPr="00000000" w14:paraId="000000AF">
      <w:pPr>
        <w:keepNext w:val="1"/>
        <w:keepLines w:val="1"/>
        <w:numPr>
          <w:ilvl w:val="1"/>
          <w:numId w:val="2"/>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3 EXECUTION</w:t>
      </w:r>
      <w:r w:rsidDel="00000000" w:rsidR="00000000" w:rsidRPr="00000000">
        <w:rPr>
          <w:rtl w:val="0"/>
        </w:rPr>
      </w:r>
    </w:p>
    <w:p w:rsidR="00000000" w:rsidDel="00000000" w:rsidP="00000000" w:rsidRDefault="00000000" w:rsidRPr="00000000" w14:paraId="000000B0">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SUSTAINABLE DOCUMENTATION PROCEDURES</w:t>
      </w:r>
      <w:r w:rsidDel="00000000" w:rsidR="00000000" w:rsidRPr="00000000">
        <w:rPr>
          <w:rtl w:val="0"/>
        </w:rPr>
      </w:r>
    </w:p>
    <w:p w:rsidR="00000000" w:rsidDel="00000000" w:rsidP="00000000" w:rsidRDefault="00000000" w:rsidRPr="00000000" w14:paraId="000000B1">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Submit sustainable design documentation required of ​Contractor​, using procedures defined under Submittals for Information in Section ​013000​.</w:t>
      </w:r>
      <w:r w:rsidDel="00000000" w:rsidR="00000000" w:rsidRPr="00000000">
        <w:rPr>
          <w:rtl w:val="0"/>
        </w:rPr>
      </w:r>
    </w:p>
    <w:p w:rsidR="00000000" w:rsidDel="00000000" w:rsidP="00000000" w:rsidRDefault="00000000" w:rsidRPr="00000000" w14:paraId="000000B2">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Submit sustainable design documentation to ​Architect​, unless otherwise indicated.</w:t>
      </w:r>
      <w:r w:rsidDel="00000000" w:rsidR="00000000" w:rsidRPr="00000000">
        <w:rPr>
          <w:rtl w:val="0"/>
        </w:rPr>
      </w:r>
    </w:p>
    <w:p w:rsidR="00000000" w:rsidDel="00000000" w:rsidP="00000000" w:rsidRDefault="00000000" w:rsidRPr="00000000" w14:paraId="000000B3">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Submit extra copy of sustainable design documentation directly to Sustainable Design Consultant, as well as to ​​Architect​​, unless otherwise indicated.</w:t>
      </w:r>
      <w:r w:rsidDel="00000000" w:rsidR="00000000" w:rsidRPr="00000000">
        <w:rPr>
          <w:rtl w:val="0"/>
        </w:rPr>
      </w:r>
    </w:p>
    <w:p w:rsidR="00000000" w:rsidDel="00000000" w:rsidP="00000000" w:rsidRDefault="00000000" w:rsidRPr="00000000" w14:paraId="000000B4">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Where an item of sustainable design documentation is specified, fill out and submit electronically the appropriate form(s), and/or use appropriate software.</w:t>
      </w:r>
      <w:r w:rsidDel="00000000" w:rsidR="00000000" w:rsidRPr="00000000">
        <w:rPr>
          <w:rtl w:val="0"/>
        </w:rPr>
      </w:r>
    </w:p>
    <w:p w:rsidR="00000000" w:rsidDel="00000000" w:rsidP="00000000" w:rsidRDefault="00000000" w:rsidRPr="00000000" w14:paraId="000000B5">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Fill out one line for each different brand name product and each different manufacturer of a lot of commodity products.</w:t>
      </w:r>
      <w:r w:rsidDel="00000000" w:rsidR="00000000" w:rsidRPr="00000000">
        <w:rPr>
          <w:rtl w:val="0"/>
        </w:rPr>
      </w:r>
    </w:p>
    <w:p w:rsidR="00000000" w:rsidDel="00000000" w:rsidP="00000000" w:rsidRDefault="00000000" w:rsidRPr="00000000" w14:paraId="000000B6">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Where required attachments are specified, attach the documentation.</w:t>
      </w:r>
      <w:r w:rsidDel="00000000" w:rsidR="00000000" w:rsidRPr="00000000">
        <w:rPr>
          <w:rtl w:val="0"/>
        </w:rPr>
      </w:r>
    </w:p>
    <w:p w:rsidR="00000000" w:rsidDel="00000000" w:rsidP="00000000" w:rsidRDefault="00000000" w:rsidRPr="00000000" w14:paraId="000000B7">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Mark each blank with the appropriate information; use "ATT" for items attached; if any item is not relevant use the code "NR"; if any item is not available use the code "NA".</w:t>
      </w:r>
      <w:r w:rsidDel="00000000" w:rsidR="00000000" w:rsidRPr="00000000">
        <w:rPr>
          <w:rtl w:val="0"/>
        </w:rPr>
      </w:r>
    </w:p>
    <w:p w:rsidR="00000000" w:rsidDel="00000000" w:rsidP="00000000" w:rsidRDefault="00000000" w:rsidRPr="00000000" w14:paraId="000000B8">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Each form must be signed by the entity capable of certifying the information.</w:t>
      </w:r>
      <w:r w:rsidDel="00000000" w:rsidR="00000000" w:rsidRPr="00000000">
        <w:rPr>
          <w:rtl w:val="0"/>
        </w:rPr>
      </w:r>
    </w:p>
    <w:p w:rsidR="00000000" w:rsidDel="00000000" w:rsidP="00000000" w:rsidRDefault="00000000" w:rsidRPr="00000000" w14:paraId="000000B9">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Certification signatures must be made by an officer of the company.</w:t>
      </w:r>
      <w:r w:rsidDel="00000000" w:rsidR="00000000" w:rsidRPr="00000000">
        <w:rPr>
          <w:rtl w:val="0"/>
        </w:rPr>
      </w:r>
    </w:p>
    <w:p w:rsidR="00000000" w:rsidDel="00000000" w:rsidP="00000000" w:rsidRDefault="00000000" w:rsidRPr="00000000" w14:paraId="000000BA">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For products, certification must be made by the manufacturer not the supplier.</w:t>
      </w:r>
      <w:r w:rsidDel="00000000" w:rsidR="00000000" w:rsidRPr="00000000">
        <w:rPr>
          <w:rtl w:val="0"/>
        </w:rPr>
      </w:r>
    </w:p>
    <w:p w:rsidR="00000000" w:rsidDel="00000000" w:rsidP="00000000" w:rsidRDefault="00000000" w:rsidRPr="00000000" w14:paraId="000000BB">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For custom fabricated products, certification by the fabricator is acceptable.</w:t>
      </w:r>
      <w:r w:rsidDel="00000000" w:rsidR="00000000" w:rsidRPr="00000000">
        <w:rPr>
          <w:rtl w:val="0"/>
        </w:rPr>
      </w:r>
    </w:p>
    <w:p w:rsidR="00000000" w:rsidDel="00000000" w:rsidP="00000000" w:rsidRDefault="00000000" w:rsidRPr="00000000" w14:paraId="000000BC">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Submit the completed forms in accordance with the requirements of Section ​013000​, as information submittals.</w:t>
      </w:r>
      <w:r w:rsidDel="00000000" w:rsidR="00000000" w:rsidRPr="00000000">
        <w:rPr>
          <w:rtl w:val="0"/>
        </w:rPr>
      </w:r>
    </w:p>
    <w:p w:rsidR="00000000" w:rsidDel="00000000" w:rsidP="00000000" w:rsidRDefault="00000000" w:rsidRPr="00000000" w14:paraId="000000BD">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Give each form a unique submittal number.</w:t>
      </w:r>
      <w:r w:rsidDel="00000000" w:rsidR="00000000" w:rsidRPr="00000000">
        <w:rPr>
          <w:rtl w:val="0"/>
        </w:rPr>
      </w:r>
    </w:p>
    <w:p w:rsidR="00000000" w:rsidDel="00000000" w:rsidP="00000000" w:rsidRDefault="00000000" w:rsidRPr="00000000" w14:paraId="000000BE">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Do not combine sustainable design documentation with product data or shop drawing submittals.</w:t>
      </w:r>
      <w:r w:rsidDel="00000000" w:rsidR="00000000" w:rsidRPr="00000000">
        <w:rPr>
          <w:rtl w:val="0"/>
        </w:rPr>
      </w:r>
    </w:p>
    <w:p w:rsidR="00000000" w:rsidDel="00000000" w:rsidP="00000000" w:rsidRDefault="00000000" w:rsidRPr="00000000" w14:paraId="000000BF">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Submit forms applicable to work for which application for payment is being made, either prior to or concurrent with application for payment; payment will not be made until relevant forms have been submitted.</w:t>
      </w:r>
      <w:r w:rsidDel="00000000" w:rsidR="00000000" w:rsidRPr="00000000">
        <w:rPr>
          <w:rtl w:val="0"/>
        </w:rPr>
      </w:r>
    </w:p>
    <w:p w:rsidR="00000000" w:rsidDel="00000000" w:rsidP="00000000" w:rsidRDefault="00000000" w:rsidRPr="00000000" w14:paraId="000000C0">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For work covered by multiple applications for payment, the initial submittal of a form is sufficient for subsequent applications unless the nature of the product has changed.</w:t>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C5">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BUY CLEAN AND BUY FAIR WASHINGTON ACT DOCUMENTATION</w:t>
      </w:r>
      <w:r w:rsidDel="00000000" w:rsidR="00000000" w:rsidRPr="00000000">
        <w:rPr>
          <w:rtl w:val="0"/>
        </w:rPr>
      </w:r>
    </w:p>
    <w:p w:rsidR="00000000" w:rsidDel="00000000" w:rsidP="00000000" w:rsidRDefault="00000000" w:rsidRPr="00000000" w14:paraId="000000C6">
      <w:pPr>
        <w:rPr>
          <w:i w:val="1"/>
          <w:color w:val="ff0000"/>
        </w:rPr>
      </w:pPr>
      <w:bookmarkStart w:colFirst="0" w:colLast="0" w:name="_heading=h.gjdgxs" w:id="0"/>
      <w:bookmarkEnd w:id="0"/>
      <w:r w:rsidDel="00000000" w:rsidR="00000000" w:rsidRPr="00000000">
        <w:rPr>
          <w:i w:val="1"/>
          <w:color w:val="ff0000"/>
          <w:rtl w:val="0"/>
        </w:rPr>
        <w:t xml:space="preserve">[An official State of Washington database for collecting Buy Clean and Buy Fair Washington Act project information had not been established when these template specifications were written. When an official database is established, it will likely be a requirement that data entry into that system is required for the project contractor.]</w:t>
      </w:r>
    </w:p>
    <w:p w:rsidR="00000000" w:rsidDel="00000000" w:rsidP="00000000" w:rsidRDefault="00000000" w:rsidRPr="00000000" w14:paraId="000000C7">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Compile all Buy Clean and Buy Fair Washington Act product data into a project summary and/or enter data into an official State of Washington database.</w:t>
      </w:r>
      <w:r w:rsidDel="00000000" w:rsidR="00000000" w:rsidRPr="00000000">
        <w:rPr>
          <w:rtl w:val="0"/>
        </w:rPr>
      </w:r>
    </w:p>
    <w:p w:rsidR="00000000" w:rsidDel="00000000" w:rsidP="00000000" w:rsidRDefault="00000000" w:rsidRPr="00000000" w14:paraId="000000C8">
      <w:pPr>
        <w:keepNext w:val="1"/>
        <w:keepLines w:val="1"/>
        <w:numPr>
          <w:ilvl w:val="0"/>
          <w:numId w:val="3"/>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rtl w:val="0"/>
        </w:rPr>
      </w:r>
    </w:p>
    <w:p w:rsidR="00000000" w:rsidDel="00000000" w:rsidP="00000000" w:rsidRDefault="00000000" w:rsidRPr="00000000" w14:paraId="000000C9">
      <w:pPr>
        <w:keepNext w:val="1"/>
        <w:keepLines w:val="1"/>
        <w:numPr>
          <w:ilvl w:val="0"/>
          <w:numId w:val="3"/>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END OF SECTION</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tbl>
    <w:tblPr>
      <w:tblStyle w:val="Table2"/>
      <w:tblW w:w="9295.0" w:type="dxa"/>
      <w:jc w:val="left"/>
      <w:tblInd w:w="-115.0" w:type="dxa"/>
      <w:tblLayout w:type="fixed"/>
      <w:tblLook w:val="0000"/>
    </w:tblPr>
    <w:tblGrid>
      <w:gridCol w:w="3535"/>
      <w:gridCol w:w="3120"/>
      <w:gridCol w:w="2640"/>
      <w:tblGridChange w:id="0">
        <w:tblGrid>
          <w:gridCol w:w="3535"/>
          <w:gridCol w:w="3120"/>
          <w:gridCol w:w="2640"/>
        </w:tblGrid>
      </w:tblGridChange>
    </w:tblGrid>
    <w:tr>
      <w:trPr>
        <w:cantSplit w:val="0"/>
        <w:tblHeader w:val="0"/>
      </w:trPr>
      <w:tc>
        <w:tcPr>
          <w:vAlign w:val="center"/>
        </w:tcPr>
        <w:p w:rsidR="00000000" w:rsidDel="00000000" w:rsidP="00000000" w:rsidRDefault="00000000" w:rsidRPr="00000000" w14:paraId="000000D3">
          <w:pPr>
            <w:spacing w:after="0" w:lineRule="auto"/>
            <w:rPr>
              <w:color w:val="000000"/>
            </w:rPr>
          </w:pPr>
          <w:r w:rsidDel="00000000" w:rsidR="00000000" w:rsidRPr="00000000">
            <w:rPr>
              <w:color w:val="000000"/>
              <w:rtl w:val="0"/>
            </w:rPr>
            <w:t xml:space="preserve">Sustainable Design Requirements </w:t>
          </w:r>
        </w:p>
        <w:p w:rsidR="00000000" w:rsidDel="00000000" w:rsidP="00000000" w:rsidRDefault="00000000" w:rsidRPr="00000000" w14:paraId="000000D4">
          <w:pPr>
            <w:spacing w:after="0" w:lineRule="auto"/>
            <w:rPr>
              <w:rFonts w:ascii="Times New Roman" w:cs="Times New Roman" w:eastAsia="Times New Roman" w:hAnsi="Times New Roman"/>
              <w:sz w:val="24"/>
              <w:szCs w:val="24"/>
            </w:rPr>
          </w:pPr>
          <w:r w:rsidDel="00000000" w:rsidR="00000000" w:rsidRPr="00000000">
            <w:rPr>
              <w:color w:val="000000"/>
              <w:rtl w:val="0"/>
            </w:rPr>
            <w:t xml:space="preserve">2024.0</w:t>
          </w:r>
          <w:r w:rsidDel="00000000" w:rsidR="00000000" w:rsidRPr="00000000">
            <w:rPr>
              <w:rtl w:val="0"/>
            </w:rPr>
            <w:t xml:space="preserve">8.16</w:t>
          </w:r>
          <w:r w:rsidDel="00000000" w:rsidR="00000000" w:rsidRPr="00000000">
            <w:rPr>
              <w:rtl w:val="0"/>
            </w:rPr>
          </w:r>
        </w:p>
      </w:tc>
      <w:tc>
        <w:tcPr>
          <w:vAlign w:val="center"/>
        </w:tcPr>
        <w:p w:rsidR="00000000" w:rsidDel="00000000" w:rsidP="00000000" w:rsidRDefault="00000000" w:rsidRPr="00000000" w14:paraId="000000D5">
          <w:pPr>
            <w:spacing w:after="0" w:lineRule="auto"/>
            <w:rPr>
              <w:color w:val="000000"/>
            </w:rPr>
          </w:pPr>
          <w:r w:rsidDel="00000000" w:rsidR="00000000" w:rsidRPr="00000000">
            <w:rPr>
              <w:rtl w:val="0"/>
            </w:rPr>
          </w:r>
        </w:p>
      </w:tc>
      <w:tc>
        <w:tcPr>
          <w:vAlign w:val="center"/>
        </w:tcPr>
        <w:p w:rsidR="00000000" w:rsidDel="00000000" w:rsidP="00000000" w:rsidRDefault="00000000" w:rsidRPr="00000000" w14:paraId="000000D6">
          <w:pPr>
            <w:spacing w:after="0" w:lineRule="auto"/>
            <w:jc w:val="right"/>
            <w:rPr>
              <w:color w:val="000000"/>
            </w:rPr>
          </w:pPr>
          <w:r w:rsidDel="00000000" w:rsidR="00000000" w:rsidRPr="00000000">
            <w:rPr>
              <w:color w:val="000000"/>
              <w:rtl w:val="0"/>
            </w:rPr>
            <w:t xml:space="preserve">018113 -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0D7">
          <w:pPr>
            <w:spacing w:after="0" w:lineRule="auto"/>
            <w:jc w:val="right"/>
            <w:rPr>
              <w:color w:val="000000"/>
            </w:rPr>
          </w:pPr>
          <w:r w:rsidDel="00000000" w:rsidR="00000000" w:rsidRPr="00000000">
            <w:rPr>
              <w:color w:val="000000"/>
              <w:rtl w:val="0"/>
            </w:rPr>
            <w:t xml:space="preserve">Buy Clean and Buy Fair WA </w:t>
          </w:r>
        </w:p>
        <w:p w:rsidR="00000000" w:rsidDel="00000000" w:rsidP="00000000" w:rsidRDefault="00000000" w:rsidRPr="00000000" w14:paraId="000000D8">
          <w:pPr>
            <w:spacing w:after="0" w:lineRule="auto"/>
            <w:jc w:val="right"/>
            <w:rPr>
              <w:rFonts w:ascii="Arial" w:cs="Arial" w:eastAsia="Arial" w:hAnsi="Arial"/>
              <w:sz w:val="20"/>
              <w:szCs w:val="20"/>
            </w:rPr>
          </w:pPr>
          <w:r w:rsidDel="00000000" w:rsidR="00000000" w:rsidRPr="00000000">
            <w:rPr>
              <w:color w:val="000000"/>
              <w:rtl w:val="0"/>
            </w:rPr>
            <w:t xml:space="preserve">(no LEED) </w:t>
          </w:r>
          <w:r w:rsidDel="00000000" w:rsidR="00000000" w:rsidRPr="00000000">
            <w:rPr>
              <w:rtl w:val="0"/>
            </w:rPr>
          </w:r>
        </w:p>
      </w:tc>
    </w:tr>
  </w:tbl>
  <w:p w:rsidR="00000000" w:rsidDel="00000000" w:rsidP="00000000" w:rsidRDefault="00000000" w:rsidRPr="00000000" w14:paraId="000000D9">
    <w:pPr>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Rule="auto"/>
      <w:rPr>
        <w:smallCaps w:val="1"/>
        <w:color w:val="000000"/>
      </w:rPr>
    </w:pPr>
    <w:r w:rsidDel="00000000" w:rsidR="00000000" w:rsidRPr="00000000">
      <w:rPr>
        <w:rtl w:val="0"/>
      </w:rPr>
    </w:r>
  </w:p>
  <w:tbl>
    <w:tblPr>
      <w:tblStyle w:val="Table1"/>
      <w:tblW w:w="9360.0" w:type="dxa"/>
      <w:jc w:val="left"/>
      <w:tblInd w:w="-115.0" w:type="dxa"/>
      <w:tblLayout w:type="fixed"/>
      <w:tblLook w:val="0000"/>
    </w:tblPr>
    <w:tblGrid>
      <w:gridCol w:w="3120"/>
      <w:gridCol w:w="3120"/>
      <w:gridCol w:w="3120"/>
      <w:tblGridChange w:id="0">
        <w:tblGrid>
          <w:gridCol w:w="3120"/>
          <w:gridCol w:w="3120"/>
          <w:gridCol w:w="3120"/>
        </w:tblGrid>
      </w:tblGridChange>
    </w:tblGrid>
    <w:tr>
      <w:trPr>
        <w:cantSplit w:val="0"/>
        <w:tblHeader w:val="0"/>
      </w:trPr>
      <w:tc>
        <w:tcPr>
          <w:vAlign w:val="center"/>
        </w:tcPr>
        <w:p w:rsidR="00000000" w:rsidDel="00000000" w:rsidP="00000000" w:rsidRDefault="00000000" w:rsidRPr="00000000" w14:paraId="000000CB">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Client Name</w:t>
          </w:r>
          <w:r w:rsidDel="00000000" w:rsidR="00000000" w:rsidRPr="00000000">
            <w:rPr>
              <w:rtl w:val="0"/>
            </w:rPr>
          </w:r>
        </w:p>
      </w:tc>
      <w:tc>
        <w:tcPr>
          <w:vAlign w:val="center"/>
        </w:tcPr>
        <w:p w:rsidR="00000000" w:rsidDel="00000000" w:rsidP="00000000" w:rsidRDefault="00000000" w:rsidRPr="00000000" w14:paraId="000000CC">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Project Name</w:t>
          </w:r>
        </w:p>
      </w:tc>
      <w:tc>
        <w:tcPr>
          <w:vAlign w:val="center"/>
        </w:tcPr>
        <w:p w:rsidR="00000000" w:rsidDel="00000000" w:rsidP="00000000" w:rsidRDefault="00000000" w:rsidRPr="00000000" w14:paraId="000000CD">
          <w:pPr>
            <w:spacing w:after="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Month ##, Year</w:t>
          </w:r>
        </w:p>
      </w:tc>
    </w:tr>
    <w:tr>
      <w:trPr>
        <w:cantSplit w:val="0"/>
        <w:tblHeader w:val="0"/>
      </w:trPr>
      <w:tc>
        <w:tcPr>
          <w:vAlign w:val="center"/>
        </w:tcPr>
        <w:p w:rsidR="00000000" w:rsidDel="00000000" w:rsidP="00000000" w:rsidRDefault="00000000" w:rsidRPr="00000000" w14:paraId="000000CE">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Project Number</w:t>
          </w:r>
          <w:r w:rsidDel="00000000" w:rsidR="00000000" w:rsidRPr="00000000">
            <w:rPr>
              <w:rtl w:val="0"/>
            </w:rPr>
          </w:r>
        </w:p>
      </w:tc>
      <w:tc>
        <w:tcPr>
          <w:vAlign w:val="center"/>
        </w:tcPr>
        <w:p w:rsidR="00000000" w:rsidDel="00000000" w:rsidP="00000000" w:rsidRDefault="00000000" w:rsidRPr="00000000" w14:paraId="000000CF">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Set Name</w:t>
          </w:r>
        </w:p>
      </w:tc>
      <w:tc>
        <w:tcPr>
          <w:vAlign w:val="center"/>
        </w:tcPr>
        <w:p w:rsidR="00000000" w:rsidDel="00000000" w:rsidP="00000000" w:rsidRDefault="00000000" w:rsidRPr="00000000" w14:paraId="000000D0">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abstractNum w:abstractNumId="3">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bullet"/>
      <w:lvlText w:val=""/>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ZGFStandardLevel7" w:customStyle="1">
    <w:name w:val="ZGF Standard Level 7"/>
    <w:qFormat w:val="1"/>
    <w:pPr>
      <w:numPr>
        <w:ilvl w:val="7"/>
        <w:numId w:val="2"/>
      </w:numPr>
      <w:outlineLvl w:val="6"/>
    </w:pPr>
  </w:style>
  <w:style w:type="table" w:styleId="Table-ZGFStandardLevel7" w:customStyle="1">
    <w:name w:val="Table-ZGF Standard Level 7"/>
    <w:qFormat w:val="1"/>
    <w:pPr>
      <w:spacing w:after="0"/>
      <w:outlineLvl w:val="6"/>
    </w:pPr>
    <w:tblPr>
      <w:tblStyleRowBandSize w:val="1"/>
      <w:tblStyleColBandSize w:val="1"/>
      <w:tblCellMar>
        <w:top w:w="0.0" w:type="dxa"/>
        <w:left w:w="0.0" w:type="dxa"/>
        <w:bottom w:w="0.0" w:type="dxa"/>
        <w:right w:w="0.0" w:type="dxa"/>
      </w:tblCellMar>
    </w:tblPr>
  </w:style>
  <w:style w:type="table" w:styleId="Table-ZGFStandardLevel7-AddParaTC" w:customStyle="1">
    <w:name w:val="Table-ZGF Standard Level 7-AddParaTC"/>
    <w:qFormat w:val="1"/>
    <w:pPr>
      <w:spacing w:after="0"/>
      <w:outlineLvl w:val="6"/>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7-RemoveParaTC" w:customStyle="1">
    <w:name w:val="Table-ZGF Standard Level 7-RemoveParaTC"/>
    <w:qFormat w:val="1"/>
    <w:pPr>
      <w:spacing w:after="0"/>
      <w:outlineLvl w:val="6"/>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0" w:customStyle="1">
    <w:name w:val="ZGF Standard Level 0"/>
    <w:qFormat w:val="1"/>
    <w:pPr>
      <w:numPr>
        <w:numId w:val="2"/>
      </w:numPr>
      <w:spacing w:after="0" w:before="20" w:line="240" w:lineRule="auto"/>
    </w:pPr>
    <w:rPr>
      <w:caps w:val="1"/>
    </w:rPr>
  </w:style>
  <w:style w:type="table" w:styleId="Table-ZGFStandardLevel0" w:customStyle="1">
    <w:name w:val="Table-ZGF Standard Level 0"/>
    <w:qFormat w:val="1"/>
    <w:pPr>
      <w:spacing w:after="0" w:before="20"/>
    </w:pPr>
    <w:rPr>
      <w:caps w:val="1"/>
    </w:rPr>
    <w:tblPr>
      <w:tblStyleRowBandSize w:val="1"/>
      <w:tblStyleColBandSize w:val="1"/>
      <w:tblCellMar>
        <w:top w:w="0.0" w:type="dxa"/>
        <w:left w:w="0.0" w:type="dxa"/>
        <w:bottom w:w="0.0" w:type="dxa"/>
        <w:right w:w="0.0" w:type="dxa"/>
      </w:tblCellMar>
    </w:tblPr>
  </w:style>
  <w:style w:type="table" w:styleId="Table-ZGFStandardLevel0-AddParaTC" w:customStyle="1">
    <w:name w:val="Table-ZGF Standard Level 0-AddParaTC"/>
    <w:qFormat w:val="1"/>
    <w:pPr>
      <w:spacing w:after="0" w:before="2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0-RemoveParaTC" w:customStyle="1">
    <w:name w:val="Table-ZGF Standard Level 0-RemoveParaTC"/>
    <w:qFormat w:val="1"/>
    <w:pPr>
      <w:spacing w:after="0" w:before="2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1" w:customStyle="1">
    <w:name w:val="ZGF-Standard Level 1"/>
    <w:qFormat w:val="1"/>
    <w:pPr>
      <w:numPr>
        <w:ilvl w:val="1"/>
        <w:numId w:val="2"/>
      </w:numPr>
      <w:spacing w:after="240" w:before="480" w:line="480" w:lineRule="auto"/>
      <w:outlineLvl w:val="0"/>
    </w:pPr>
    <w:rPr>
      <w:caps w:val="1"/>
    </w:rPr>
  </w:style>
  <w:style w:type="table" w:styleId="Table-ZGF-StandardLevel1" w:customStyle="1">
    <w:name w:val="Table-ZGF-Standard Level 1"/>
    <w:qFormat w:val="1"/>
    <w:pPr>
      <w:spacing w:after="240" w:before="480"/>
      <w:outlineLvl w:val="0"/>
    </w:pPr>
    <w:rPr>
      <w:caps w:val="1"/>
    </w:rPr>
    <w:tblPr>
      <w:tblStyleRowBandSize w:val="1"/>
      <w:tblStyleColBandSize w:val="1"/>
      <w:tblCellMar>
        <w:top w:w="0.0" w:type="dxa"/>
        <w:left w:w="0.0" w:type="dxa"/>
        <w:bottom w:w="0.0" w:type="dxa"/>
        <w:right w:w="0.0" w:type="dxa"/>
      </w:tblCellMar>
    </w:tblPr>
  </w:style>
  <w:style w:type="table" w:styleId="Table-ZGF-StandardLevel1-AddParaTC" w:customStyle="1">
    <w:name w:val="Table-ZGF-Standard Level 1-AddParaTC"/>
    <w:qFormat w:val="1"/>
    <w:pPr>
      <w:spacing w:after="240" w:before="480"/>
      <w:outlineLvl w:val="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1-RemoveParaTC" w:customStyle="1">
    <w:name w:val="Table-ZGF-Standard Level 1-RemoveParaTC"/>
    <w:qFormat w:val="1"/>
    <w:pPr>
      <w:spacing w:after="240" w:before="480"/>
      <w:outlineLvl w:val="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2" w:customStyle="1">
    <w:name w:val="ZGF Standard Level 2"/>
    <w:qFormat w:val="1"/>
    <w:pPr>
      <w:numPr>
        <w:ilvl w:val="2"/>
        <w:numId w:val="2"/>
      </w:numPr>
      <w:spacing w:after="0" w:before="174" w:line="480" w:lineRule="auto"/>
      <w:outlineLvl w:val="1"/>
    </w:pPr>
  </w:style>
  <w:style w:type="table" w:styleId="Table-ZGFStandardLevel2" w:customStyle="1">
    <w:name w:val="Table-ZGF Standard Level 2"/>
    <w:qFormat w:val="1"/>
    <w:pPr>
      <w:spacing w:after="0" w:before="174"/>
      <w:outlineLvl w:val="1"/>
    </w:pPr>
    <w:tblPr>
      <w:tblStyleRowBandSize w:val="1"/>
      <w:tblStyleColBandSize w:val="1"/>
      <w:tblCellMar>
        <w:top w:w="0.0" w:type="dxa"/>
        <w:left w:w="0.0" w:type="dxa"/>
        <w:bottom w:w="0.0" w:type="dxa"/>
        <w:right w:w="0.0" w:type="dxa"/>
      </w:tblCellMar>
    </w:tblPr>
  </w:style>
  <w:style w:type="table" w:styleId="Table-ZGFStandardLevel2-AddParaTC" w:customStyle="1">
    <w:name w:val="Table-ZGF Standard Level 2-AddParaTC"/>
    <w:qFormat w:val="1"/>
    <w:pPr>
      <w:spacing w:after="0" w:before="174"/>
      <w:outlineLvl w:val="1"/>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2-RemoveParaTC" w:customStyle="1">
    <w:name w:val="Table-ZGF Standard Level 2-RemoveParaTC"/>
    <w:qFormat w:val="1"/>
    <w:pPr>
      <w:spacing w:after="0" w:before="174"/>
      <w:outlineLvl w:val="1"/>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3" w:customStyle="1">
    <w:name w:val="ZGF Standard Level 3"/>
    <w:qFormat w:val="1"/>
    <w:pPr>
      <w:numPr>
        <w:ilvl w:val="3"/>
        <w:numId w:val="2"/>
      </w:numPr>
      <w:outlineLvl w:val="2"/>
    </w:pPr>
  </w:style>
  <w:style w:type="table" w:styleId="Table-ZGFStandardLevel3" w:customStyle="1">
    <w:name w:val="Table-ZGF Standard Level 3"/>
    <w:qFormat w:val="1"/>
    <w:pPr>
      <w:spacing w:after="0" w:before="2"/>
      <w:outlineLvl w:val="2"/>
    </w:pPr>
    <w:tblPr>
      <w:tblStyleRowBandSize w:val="1"/>
      <w:tblStyleColBandSize w:val="1"/>
      <w:tblCellMar>
        <w:top w:w="0.0" w:type="dxa"/>
        <w:left w:w="0.0" w:type="dxa"/>
        <w:bottom w:w="0.0" w:type="dxa"/>
        <w:right w:w="0.0" w:type="dxa"/>
      </w:tblCellMar>
    </w:tblPr>
  </w:style>
  <w:style w:type="table" w:styleId="Table-ZGFStandardLevel3-AddParaTC" w:customStyle="1">
    <w:name w:val="Table-ZGF Standard Level 3-AddParaTC"/>
    <w:qFormat w:val="1"/>
    <w:pPr>
      <w:spacing w:after="0" w:before="2"/>
      <w:outlineLvl w:val="2"/>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3-RemoveParaTC" w:customStyle="1">
    <w:name w:val="Table-ZGF Standard Level 3-RemoveParaTC"/>
    <w:qFormat w:val="1"/>
    <w:pPr>
      <w:spacing w:after="0" w:before="2"/>
      <w:outlineLvl w:val="2"/>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4" w:customStyle="1">
    <w:name w:val="ZGF Standard Level 4"/>
    <w:qFormat w:val="1"/>
    <w:pPr>
      <w:numPr>
        <w:ilvl w:val="4"/>
        <w:numId w:val="2"/>
      </w:numPr>
      <w:outlineLvl w:val="3"/>
    </w:pPr>
  </w:style>
  <w:style w:type="table" w:styleId="Table-ZGFStandardLevel4" w:customStyle="1">
    <w:name w:val="Table-ZGF Standard Level 4"/>
    <w:qFormat w:val="1"/>
    <w:pPr>
      <w:spacing w:after="0"/>
      <w:outlineLvl w:val="3"/>
    </w:pPr>
    <w:tblPr>
      <w:tblStyleRowBandSize w:val="1"/>
      <w:tblStyleColBandSize w:val="1"/>
      <w:tblCellMar>
        <w:top w:w="0.0" w:type="dxa"/>
        <w:left w:w="0.0" w:type="dxa"/>
        <w:bottom w:w="0.0" w:type="dxa"/>
        <w:right w:w="0.0" w:type="dxa"/>
      </w:tblCellMar>
    </w:tblPr>
  </w:style>
  <w:style w:type="table" w:styleId="Table-ZGFStandardLevel4-AddParaTC" w:customStyle="1">
    <w:name w:val="Table-ZGF Standard Level 4-AddParaTC"/>
    <w:qFormat w:val="1"/>
    <w:pPr>
      <w:spacing w:after="0"/>
      <w:outlineLvl w:val="3"/>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4-RemoveParaTC" w:customStyle="1">
    <w:name w:val="Table-ZGF Standard Level 4-RemoveParaTC"/>
    <w:qFormat w:val="1"/>
    <w:pPr>
      <w:spacing w:after="0"/>
      <w:outlineLvl w:val="3"/>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5" w:customStyle="1">
    <w:name w:val="ZGF Standard Level 5"/>
    <w:qFormat w:val="1"/>
    <w:pPr>
      <w:numPr>
        <w:ilvl w:val="5"/>
        <w:numId w:val="2"/>
      </w:numPr>
      <w:outlineLvl w:val="4"/>
    </w:pPr>
  </w:style>
  <w:style w:type="table" w:styleId="Table-ZGFStandardLevel5" w:customStyle="1">
    <w:name w:val="Table-ZGF Standard Level 5"/>
    <w:qFormat w:val="1"/>
    <w:pPr>
      <w:spacing w:after="0"/>
      <w:outlineLvl w:val="4"/>
    </w:pPr>
    <w:tblPr>
      <w:tblStyleRowBandSize w:val="1"/>
      <w:tblStyleColBandSize w:val="1"/>
      <w:tblCellMar>
        <w:top w:w="0.0" w:type="dxa"/>
        <w:left w:w="0.0" w:type="dxa"/>
        <w:bottom w:w="0.0" w:type="dxa"/>
        <w:right w:w="0.0" w:type="dxa"/>
      </w:tblCellMar>
    </w:tblPr>
  </w:style>
  <w:style w:type="table" w:styleId="Table-ZGFStandardLevel5-AddParaTC" w:customStyle="1">
    <w:name w:val="Table-ZGF Standard Level 5-AddParaTC"/>
    <w:qFormat w:val="1"/>
    <w:pPr>
      <w:spacing w:after="0"/>
      <w:outlineLvl w:val="4"/>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5-RemoveParaTC" w:customStyle="1">
    <w:name w:val="Table-ZGF Standard Level 5-RemoveParaTC"/>
    <w:qFormat w:val="1"/>
    <w:pPr>
      <w:spacing w:after="0"/>
      <w:outlineLvl w:val="4"/>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6" w:customStyle="1">
    <w:name w:val="ZGF Standard Level 6"/>
    <w:qFormat w:val="1"/>
    <w:pPr>
      <w:numPr>
        <w:ilvl w:val="6"/>
        <w:numId w:val="2"/>
      </w:numPr>
      <w:outlineLvl w:val="5"/>
    </w:pPr>
  </w:style>
  <w:style w:type="table" w:styleId="Table-ZGFStandardLevel6" w:customStyle="1">
    <w:name w:val="Table-ZGF Standard Level 6"/>
    <w:qFormat w:val="1"/>
    <w:pPr>
      <w:spacing w:after="0"/>
      <w:outlineLvl w:val="5"/>
    </w:pPr>
    <w:tblPr>
      <w:tblStyleRowBandSize w:val="1"/>
      <w:tblStyleColBandSize w:val="1"/>
      <w:tblCellMar>
        <w:top w:w="0.0" w:type="dxa"/>
        <w:left w:w="0.0" w:type="dxa"/>
        <w:bottom w:w="0.0" w:type="dxa"/>
        <w:right w:w="0.0" w:type="dxa"/>
      </w:tblCellMar>
    </w:tblPr>
  </w:style>
  <w:style w:type="table" w:styleId="Table-ZGFStandardLevel6-AddParaTC" w:customStyle="1">
    <w:name w:val="Table-ZGF Standard Level 6-AddParaTC"/>
    <w:qFormat w:val="1"/>
    <w:pPr>
      <w:spacing w:after="0"/>
      <w:outlineLvl w:val="5"/>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6-RemoveParaTC" w:customStyle="1">
    <w:name w:val="Table-ZGF Standard Level 6-RemoveParaTC"/>
    <w:qFormat w:val="1"/>
    <w:pPr>
      <w:spacing w:after="0"/>
      <w:outlineLvl w:val="5"/>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8" w:customStyle="1">
    <w:name w:val="ZGF Standard Level 8"/>
    <w:qFormat w:val="1"/>
    <w:pPr>
      <w:numPr>
        <w:ilvl w:val="8"/>
        <w:numId w:val="2"/>
      </w:numPr>
      <w:outlineLvl w:val="7"/>
    </w:pPr>
  </w:style>
  <w:style w:type="table" w:styleId="Table-ZGFStandardLevel8" w:customStyle="1">
    <w:name w:val="Table-ZGF Standard Level 8"/>
    <w:qFormat w:val="1"/>
    <w:pPr>
      <w:spacing w:after="0"/>
      <w:outlineLvl w:val="7"/>
    </w:pPr>
    <w:tblPr>
      <w:tblStyleRowBandSize w:val="1"/>
      <w:tblStyleColBandSize w:val="1"/>
      <w:tblCellMar>
        <w:top w:w="0.0" w:type="dxa"/>
        <w:left w:w="0.0" w:type="dxa"/>
        <w:bottom w:w="0.0" w:type="dxa"/>
        <w:right w:w="0.0" w:type="dxa"/>
      </w:tblCellMar>
    </w:tblPr>
  </w:style>
  <w:style w:type="table" w:styleId="Table-ZGFStandardLevel8-AddParaTC" w:customStyle="1">
    <w:name w:val="Table-ZGF Standard Level 8-AddParaTC"/>
    <w:qFormat w:val="1"/>
    <w:pPr>
      <w:spacing w:after="0"/>
      <w:outlineLvl w:val="7"/>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8-RemoveParaTC" w:customStyle="1">
    <w:name w:val="Table-ZGF Standard Level 8-RemoveParaTC"/>
    <w:qFormat w:val="1"/>
    <w:pPr>
      <w:spacing w:after="0"/>
      <w:outlineLvl w:val="7"/>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CellMar>
        <w:left w:w="115.0" w:type="dxa"/>
        <w:right w:w="115.0" w:type="dxa"/>
      </w:tblCellMar>
    </w:tblPr>
  </w:style>
  <w:style w:type="table" w:styleId="a0" w:customStyle="1">
    <w:basedOn w:val="TableNormal"/>
    <w:pPr>
      <w:spacing w:after="0"/>
    </w:pPr>
    <w:tblPr>
      <w:tblStyleRowBandSize w:val="1"/>
      <w:tblStyleColBandSize w:val="1"/>
      <w:tblCellMar>
        <w:left w:w="115.0" w:type="dxa"/>
        <w:right w:w="115.0" w:type="dxa"/>
      </w:tblCellMar>
    </w:tblPr>
  </w:style>
  <w:style w:type="table" w:styleId="a1" w:customStyle="1">
    <w:basedOn w:val="TableNormal"/>
    <w:pPr>
      <w:spacing w:after="0"/>
    </w:pPr>
    <w:tblPr>
      <w:tblStyleRowBandSize w:val="1"/>
      <w:tblStyleColBandSize w:val="1"/>
      <w:tblCellMar>
        <w:left w:w="115.0" w:type="dxa"/>
        <w:right w:w="115.0" w:type="dxa"/>
      </w:tblCellMar>
    </w:tblPr>
  </w:style>
  <w:style w:type="table" w:styleId="a2" w:customStyle="1">
    <w:basedOn w:val="TableNormal"/>
    <w:pPr>
      <w:spacing w:after="0"/>
    </w:pPr>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0D413F"/>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413F"/>
  </w:style>
  <w:style w:type="paragraph" w:styleId="Footer">
    <w:name w:val="footer"/>
    <w:basedOn w:val="Normal"/>
    <w:link w:val="FooterChar"/>
    <w:uiPriority w:val="99"/>
    <w:unhideWhenUsed w:val="1"/>
    <w:rsid w:val="000D413F"/>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413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smkEd9IX52LN/YfeFLuIOnYow==">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2024-07-10T18:50:00Z</dcterms:created>
  <dc:creator>Rerick, Lona</dc:creator>
</cp:coreProperties>
</file>